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D67604">
      <w:pPr>
        <w:adjustRightInd w:val="0"/>
        <w:snapToGrid w:val="0"/>
        <w:spacing w:line="560" w:lineRule="exact"/>
        <w:ind w:right="-340" w:rightChars="-104" w:firstLine="2235" w:firstLineChars="500"/>
        <w:jc w:val="both"/>
        <w:rPr>
          <w:rFonts w:hint="eastAsia" w:ascii="Times New Roman" w:eastAsia="方正小标宋简体"/>
          <w:sz w:val="44"/>
          <w:szCs w:val="44"/>
          <w:lang w:val="en-US" w:eastAsia="zh-CN"/>
        </w:rPr>
      </w:pPr>
      <w:r>
        <w:rPr>
          <w:rFonts w:hint="eastAsia" w:eastAsia="方正小标宋简体"/>
          <w:sz w:val="44"/>
          <w:szCs w:val="44"/>
          <w:lang w:eastAsia="zh-CN"/>
        </w:rPr>
        <w:t>玉林市医疗保障服务中心</w:t>
      </w:r>
    </w:p>
    <w:p w14:paraId="4723B425">
      <w:pPr>
        <w:adjustRightInd w:val="0"/>
        <w:snapToGrid w:val="0"/>
        <w:spacing w:line="560" w:lineRule="exact"/>
        <w:ind w:right="-340" w:rightChars="-104" w:firstLine="2235" w:firstLineChars="500"/>
        <w:jc w:val="both"/>
        <w:rPr>
          <w:rFonts w:hint="default" w:ascii="Times New Roman" w:hAnsi="Times New Roman" w:eastAsia="方正小标宋简体"/>
          <w:bCs/>
          <w:szCs w:val="32"/>
          <w:lang w:eastAsia="zh-CN"/>
        </w:rPr>
      </w:pPr>
      <w:r>
        <w:rPr>
          <w:rFonts w:hint="default" w:ascii="Times New Roman" w:eastAsia="方正小标宋简体"/>
          <w:sz w:val="44"/>
          <w:szCs w:val="44"/>
        </w:rPr>
        <w:t>202</w:t>
      </w:r>
      <w:r>
        <w:rPr>
          <w:rFonts w:hint="eastAsia" w:eastAsia="方正小标宋简体"/>
          <w:sz w:val="44"/>
          <w:szCs w:val="44"/>
          <w:lang w:val="en-US" w:eastAsia="zh-CN"/>
        </w:rPr>
        <w:t>6</w:t>
      </w:r>
      <w:r>
        <w:rPr>
          <w:rFonts w:hint="default" w:ascii="Times New Roman" w:eastAsia="方正小标宋简体"/>
          <w:sz w:val="44"/>
          <w:szCs w:val="44"/>
        </w:rPr>
        <w:t>年部门预算公开</w:t>
      </w:r>
      <w:r>
        <w:rPr>
          <w:rFonts w:hint="default" w:ascii="Times New Roman" w:eastAsia="方正小标宋简体"/>
          <w:sz w:val="44"/>
          <w:szCs w:val="44"/>
          <w:lang w:eastAsia="zh-CN"/>
        </w:rPr>
        <w:t>说明</w:t>
      </w:r>
    </w:p>
    <w:p w14:paraId="1E244D79">
      <w:pPr>
        <w:adjustRightInd w:val="0"/>
        <w:snapToGrid w:val="0"/>
        <w:spacing w:line="560" w:lineRule="exact"/>
        <w:ind w:right="-340" w:rightChars="-104"/>
        <w:jc w:val="center"/>
        <w:rPr>
          <w:rFonts w:hint="default" w:ascii="Times New Roman" w:hAnsi="Times New Roman" w:eastAsia="黑体"/>
          <w:bCs/>
          <w:szCs w:val="32"/>
        </w:rPr>
      </w:pPr>
    </w:p>
    <w:p w14:paraId="3F5DC38D">
      <w:pPr>
        <w:adjustRightInd w:val="0"/>
        <w:snapToGrid w:val="0"/>
        <w:spacing w:line="560" w:lineRule="exact"/>
        <w:ind w:right="-340" w:rightChars="-104"/>
        <w:jc w:val="center"/>
        <w:rPr>
          <w:rFonts w:hint="default" w:ascii="Times New Roman" w:hAnsi="Times New Roman" w:eastAsia="黑体"/>
          <w:bCs/>
          <w:szCs w:val="32"/>
        </w:rPr>
      </w:pPr>
      <w:r>
        <w:rPr>
          <w:rFonts w:hint="default" w:ascii="Times New Roman" w:hAnsi="Times New Roman" w:eastAsia="黑体"/>
          <w:bCs/>
          <w:szCs w:val="32"/>
        </w:rPr>
        <w:t>目  录</w:t>
      </w:r>
    </w:p>
    <w:p w14:paraId="2713A0E3">
      <w:pPr>
        <w:adjustRightInd w:val="0"/>
        <w:snapToGrid w:val="0"/>
        <w:spacing w:line="560" w:lineRule="exact"/>
        <w:ind w:right="-340" w:rightChars="-104" w:firstLine="654" w:firstLineChars="200"/>
        <w:rPr>
          <w:rFonts w:hint="default" w:ascii="Times New Roman" w:hAnsi="Times New Roman" w:eastAsia="黑体"/>
          <w:bCs/>
          <w:szCs w:val="32"/>
        </w:rPr>
      </w:pPr>
    </w:p>
    <w:p w14:paraId="2D94696C">
      <w:pPr>
        <w:adjustRightInd w:val="0"/>
        <w:snapToGrid w:val="0"/>
        <w:spacing w:line="560" w:lineRule="exact"/>
        <w:ind w:right="-340" w:rightChars="-104" w:firstLine="654" w:firstLineChars="200"/>
        <w:rPr>
          <w:rFonts w:hint="default" w:ascii="Times New Roman" w:hAnsi="Times New Roman" w:eastAsia="黑体"/>
          <w:bCs/>
          <w:szCs w:val="32"/>
        </w:rPr>
      </w:pPr>
      <w:r>
        <w:rPr>
          <w:rFonts w:hint="default" w:ascii="Times New Roman" w:hAnsi="Times New Roman" w:eastAsia="黑体"/>
          <w:bCs/>
          <w:szCs w:val="32"/>
        </w:rPr>
        <w:t>第一部分：部门概况</w:t>
      </w:r>
    </w:p>
    <w:p w14:paraId="445E36A2">
      <w:pPr>
        <w:adjustRightInd w:val="0"/>
        <w:snapToGrid w:val="0"/>
        <w:spacing w:line="560" w:lineRule="exact"/>
        <w:ind w:right="-340" w:rightChars="-104" w:firstLine="654" w:firstLineChars="200"/>
        <w:rPr>
          <w:rFonts w:hint="default" w:ascii="Times New Roman" w:hAnsi="Times New Roman" w:eastAsia="黑体"/>
          <w:bCs/>
          <w:szCs w:val="32"/>
        </w:rPr>
      </w:pPr>
    </w:p>
    <w:p w14:paraId="67EA1D47">
      <w:pPr>
        <w:adjustRightInd w:val="0"/>
        <w:snapToGrid w:val="0"/>
        <w:spacing w:line="560" w:lineRule="exact"/>
        <w:ind w:right="-340" w:rightChars="-104" w:firstLine="654" w:firstLineChars="200"/>
        <w:rPr>
          <w:rFonts w:hint="default" w:ascii="Times New Roman" w:hAnsi="Times New Roman" w:eastAsia="黑体"/>
          <w:bCs/>
          <w:spacing w:val="-17"/>
          <w:sz w:val="32"/>
          <w:szCs w:val="32"/>
        </w:rPr>
      </w:pPr>
      <w:r>
        <w:rPr>
          <w:rFonts w:hint="default" w:ascii="Times New Roman" w:eastAsia="黑体"/>
          <w:szCs w:val="32"/>
        </w:rPr>
        <w:t>第二部分：</w:t>
      </w:r>
      <w:r>
        <w:rPr>
          <w:rFonts w:hint="eastAsia" w:eastAsia="黑体"/>
          <w:spacing w:val="-17"/>
          <w:sz w:val="32"/>
          <w:szCs w:val="32"/>
          <w:lang w:eastAsia="zh-CN"/>
        </w:rPr>
        <w:t>玉林市医疗保障服务中心</w:t>
      </w:r>
      <w:r>
        <w:rPr>
          <w:rFonts w:hint="default" w:ascii="Times New Roman" w:hAnsi="Times New Roman" w:eastAsia="黑体"/>
          <w:spacing w:val="-17"/>
          <w:sz w:val="32"/>
          <w:szCs w:val="32"/>
        </w:rPr>
        <w:t>202</w:t>
      </w:r>
      <w:r>
        <w:rPr>
          <w:rFonts w:hint="eastAsia" w:eastAsia="黑体"/>
          <w:spacing w:val="-17"/>
          <w:sz w:val="32"/>
          <w:szCs w:val="32"/>
          <w:lang w:val="en-US" w:eastAsia="zh-CN"/>
        </w:rPr>
        <w:t>6</w:t>
      </w:r>
      <w:r>
        <w:rPr>
          <w:rFonts w:hint="default" w:ascii="Times New Roman" w:hAnsi="Times New Roman" w:eastAsia="黑体"/>
          <w:spacing w:val="-17"/>
          <w:sz w:val="32"/>
          <w:szCs w:val="32"/>
        </w:rPr>
        <w:t>年</w:t>
      </w:r>
      <w:r>
        <w:rPr>
          <w:rFonts w:hint="default" w:ascii="Times New Roman" w:eastAsia="黑体"/>
          <w:spacing w:val="-17"/>
          <w:sz w:val="32"/>
          <w:szCs w:val="32"/>
        </w:rPr>
        <w:t>部门预算情况说明</w:t>
      </w:r>
    </w:p>
    <w:p w14:paraId="2B100C25">
      <w:pPr>
        <w:adjustRightInd w:val="0"/>
        <w:snapToGrid w:val="0"/>
        <w:spacing w:line="560" w:lineRule="exact"/>
        <w:ind w:right="-340" w:rightChars="-104" w:firstLine="654" w:firstLineChars="200"/>
        <w:rPr>
          <w:rFonts w:hint="default" w:ascii="Times New Roman" w:hAnsi="Times New Roman" w:eastAsia="黑体"/>
          <w:bCs/>
          <w:szCs w:val="32"/>
        </w:rPr>
      </w:pPr>
    </w:p>
    <w:p w14:paraId="3DEF92AF">
      <w:pPr>
        <w:adjustRightInd w:val="0"/>
        <w:snapToGrid w:val="0"/>
        <w:spacing w:line="560" w:lineRule="exact"/>
        <w:ind w:right="-340" w:rightChars="-104" w:firstLine="654" w:firstLineChars="200"/>
        <w:rPr>
          <w:rFonts w:hint="default" w:ascii="Times New Roman" w:hAnsi="Times New Roman" w:eastAsia="黑体"/>
          <w:bCs/>
          <w:szCs w:val="32"/>
        </w:rPr>
      </w:pPr>
      <w:r>
        <w:rPr>
          <w:rFonts w:hint="default" w:ascii="Times New Roman" w:eastAsia="黑体"/>
          <w:szCs w:val="32"/>
        </w:rPr>
        <w:t>第三部分：名词解释</w:t>
      </w:r>
    </w:p>
    <w:p w14:paraId="4A5111AA">
      <w:pPr>
        <w:adjustRightInd w:val="0"/>
        <w:snapToGrid w:val="0"/>
        <w:spacing w:line="560" w:lineRule="exact"/>
        <w:ind w:right="-340" w:rightChars="-104" w:firstLine="654" w:firstLineChars="200"/>
        <w:rPr>
          <w:rFonts w:hint="default" w:ascii="Times New Roman" w:hAnsi="Times New Roman" w:eastAsia="黑体"/>
          <w:bCs/>
          <w:szCs w:val="32"/>
        </w:rPr>
      </w:pPr>
    </w:p>
    <w:p w14:paraId="47A4A19B">
      <w:pPr>
        <w:adjustRightInd w:val="0"/>
        <w:snapToGrid w:val="0"/>
        <w:spacing w:line="560" w:lineRule="exact"/>
        <w:ind w:right="-340" w:rightChars="-104" w:firstLine="610" w:firstLineChars="200"/>
        <w:rPr>
          <w:rFonts w:hint="default" w:ascii="Times New Roman" w:hAnsi="Times New Roman" w:eastAsia="黑体"/>
          <w:bCs/>
          <w:spacing w:val="-11"/>
          <w:sz w:val="32"/>
          <w:szCs w:val="32"/>
        </w:rPr>
      </w:pPr>
      <w:r>
        <w:rPr>
          <w:rFonts w:hint="default" w:ascii="Times New Roman" w:hAnsi="Times New Roman" w:eastAsia="黑体"/>
          <w:bCs/>
          <w:spacing w:val="-11"/>
          <w:sz w:val="32"/>
          <w:szCs w:val="32"/>
        </w:rPr>
        <w:t>第四部分：</w:t>
      </w:r>
      <w:r>
        <w:rPr>
          <w:rFonts w:hint="eastAsia" w:eastAsia="黑体"/>
          <w:spacing w:val="-11"/>
          <w:sz w:val="32"/>
          <w:szCs w:val="32"/>
          <w:lang w:eastAsia="zh-CN"/>
        </w:rPr>
        <w:t>玉林市医疗保障服务中心</w:t>
      </w:r>
      <w:r>
        <w:rPr>
          <w:rFonts w:hint="default" w:ascii="Times New Roman" w:hAnsi="Times New Roman" w:eastAsia="黑体"/>
          <w:spacing w:val="-11"/>
          <w:sz w:val="32"/>
          <w:szCs w:val="32"/>
        </w:rPr>
        <w:t>202</w:t>
      </w:r>
      <w:r>
        <w:rPr>
          <w:rFonts w:hint="eastAsia" w:eastAsia="黑体"/>
          <w:spacing w:val="-11"/>
          <w:sz w:val="32"/>
          <w:szCs w:val="32"/>
          <w:lang w:val="en-US" w:eastAsia="zh-CN"/>
        </w:rPr>
        <w:t>6</w:t>
      </w:r>
      <w:r>
        <w:rPr>
          <w:rFonts w:hint="default" w:ascii="Times New Roman" w:hAnsi="Times New Roman" w:eastAsia="黑体"/>
          <w:spacing w:val="-11"/>
          <w:sz w:val="32"/>
          <w:szCs w:val="32"/>
        </w:rPr>
        <w:t>年</w:t>
      </w:r>
      <w:r>
        <w:rPr>
          <w:rFonts w:hint="default" w:ascii="Times New Roman" w:eastAsia="黑体"/>
          <w:spacing w:val="-11"/>
          <w:sz w:val="32"/>
          <w:szCs w:val="32"/>
        </w:rPr>
        <w:t>部门预算</w:t>
      </w:r>
      <w:bookmarkStart w:id="0" w:name="_GoBack"/>
      <w:bookmarkEnd w:id="0"/>
      <w:r>
        <w:rPr>
          <w:rFonts w:hint="default" w:ascii="Times New Roman" w:eastAsia="黑体"/>
          <w:spacing w:val="-11"/>
          <w:sz w:val="32"/>
          <w:szCs w:val="32"/>
        </w:rPr>
        <w:t>报表</w:t>
      </w:r>
    </w:p>
    <w:p w14:paraId="3E97399D">
      <w:pPr>
        <w:adjustRightInd w:val="0"/>
        <w:snapToGrid w:val="0"/>
        <w:spacing w:line="560" w:lineRule="exact"/>
        <w:ind w:right="-340" w:rightChars="-104" w:firstLine="654" w:firstLineChars="200"/>
        <w:rPr>
          <w:rFonts w:hint="default" w:ascii="Times New Roman" w:hAnsi="Times New Roman" w:eastAsia="黑体"/>
          <w:bCs/>
          <w:szCs w:val="32"/>
        </w:rPr>
      </w:pPr>
    </w:p>
    <w:p w14:paraId="773EED75">
      <w:pPr>
        <w:adjustRightInd w:val="0"/>
        <w:snapToGrid w:val="0"/>
        <w:spacing w:line="560" w:lineRule="exact"/>
        <w:ind w:right="-340" w:rightChars="-104" w:firstLine="654" w:firstLineChars="200"/>
        <w:rPr>
          <w:rFonts w:hint="default" w:ascii="Times New Roman" w:hAnsi="Times New Roman" w:eastAsia="黑体"/>
          <w:bCs/>
          <w:szCs w:val="32"/>
        </w:rPr>
      </w:pPr>
    </w:p>
    <w:p w14:paraId="1AA8BF2A">
      <w:pPr>
        <w:adjustRightInd w:val="0"/>
        <w:snapToGrid w:val="0"/>
        <w:spacing w:line="560" w:lineRule="exact"/>
        <w:ind w:right="-340" w:rightChars="-104" w:firstLine="654" w:firstLineChars="200"/>
        <w:rPr>
          <w:rFonts w:hint="default" w:ascii="Times New Roman" w:hAnsi="Times New Roman" w:eastAsia="黑体"/>
          <w:bCs/>
          <w:szCs w:val="32"/>
        </w:rPr>
      </w:pPr>
    </w:p>
    <w:p w14:paraId="005F08D7">
      <w:pPr>
        <w:adjustRightInd w:val="0"/>
        <w:snapToGrid w:val="0"/>
        <w:spacing w:line="560" w:lineRule="exact"/>
        <w:ind w:right="-340" w:rightChars="-104" w:firstLine="654" w:firstLineChars="200"/>
        <w:rPr>
          <w:rFonts w:hint="default" w:ascii="Times New Roman" w:hAnsi="Times New Roman" w:eastAsia="黑体"/>
          <w:bCs/>
          <w:szCs w:val="32"/>
        </w:rPr>
      </w:pPr>
    </w:p>
    <w:p w14:paraId="76139230">
      <w:pPr>
        <w:adjustRightInd w:val="0"/>
        <w:snapToGrid w:val="0"/>
        <w:spacing w:line="560" w:lineRule="exact"/>
        <w:ind w:right="-340" w:rightChars="-104" w:firstLine="654" w:firstLineChars="200"/>
        <w:rPr>
          <w:rFonts w:hint="default" w:ascii="Times New Roman" w:hAnsi="Times New Roman" w:eastAsia="黑体"/>
          <w:bCs/>
          <w:szCs w:val="32"/>
        </w:rPr>
      </w:pPr>
    </w:p>
    <w:p w14:paraId="7A90AE2F">
      <w:pPr>
        <w:adjustRightInd w:val="0"/>
        <w:snapToGrid w:val="0"/>
        <w:spacing w:line="560" w:lineRule="exact"/>
        <w:ind w:right="-340" w:rightChars="-104" w:firstLine="654" w:firstLineChars="200"/>
        <w:rPr>
          <w:rFonts w:hint="default" w:ascii="Times New Roman" w:hAnsi="Times New Roman" w:eastAsia="黑体"/>
          <w:bCs/>
          <w:szCs w:val="32"/>
        </w:rPr>
      </w:pPr>
    </w:p>
    <w:p w14:paraId="0C34E469">
      <w:pPr>
        <w:adjustRightInd w:val="0"/>
        <w:snapToGrid w:val="0"/>
        <w:spacing w:line="560" w:lineRule="exact"/>
        <w:ind w:right="-340" w:rightChars="-104" w:firstLine="654" w:firstLineChars="200"/>
        <w:rPr>
          <w:rFonts w:hint="default" w:ascii="Times New Roman" w:hAnsi="Times New Roman" w:eastAsia="黑体"/>
          <w:bCs/>
          <w:szCs w:val="32"/>
        </w:rPr>
      </w:pPr>
    </w:p>
    <w:p w14:paraId="669664CD">
      <w:pPr>
        <w:adjustRightInd w:val="0"/>
        <w:snapToGrid w:val="0"/>
        <w:spacing w:line="560" w:lineRule="exact"/>
        <w:ind w:right="-340" w:rightChars="-104" w:firstLine="654" w:firstLineChars="200"/>
        <w:rPr>
          <w:rFonts w:hint="default" w:ascii="Times New Roman" w:hAnsi="Times New Roman" w:eastAsia="黑体"/>
          <w:bCs/>
          <w:szCs w:val="32"/>
        </w:rPr>
      </w:pPr>
    </w:p>
    <w:p w14:paraId="43FBA75B">
      <w:pPr>
        <w:adjustRightInd w:val="0"/>
        <w:snapToGrid w:val="0"/>
        <w:spacing w:line="560" w:lineRule="exact"/>
        <w:ind w:right="-340" w:rightChars="-104" w:firstLine="654" w:firstLineChars="200"/>
        <w:rPr>
          <w:rFonts w:hint="default" w:ascii="Times New Roman" w:hAnsi="Times New Roman" w:eastAsia="黑体"/>
          <w:bCs/>
          <w:szCs w:val="32"/>
        </w:rPr>
      </w:pPr>
    </w:p>
    <w:p w14:paraId="1F4A2648">
      <w:pPr>
        <w:adjustRightInd w:val="0"/>
        <w:snapToGrid w:val="0"/>
        <w:spacing w:line="560" w:lineRule="exact"/>
        <w:ind w:right="-340" w:rightChars="-104" w:firstLine="654" w:firstLineChars="200"/>
        <w:rPr>
          <w:rFonts w:hint="default" w:ascii="Times New Roman" w:hAnsi="Times New Roman" w:eastAsia="黑体"/>
          <w:bCs/>
          <w:szCs w:val="32"/>
        </w:rPr>
      </w:pPr>
    </w:p>
    <w:p w14:paraId="51E6F55E">
      <w:pPr>
        <w:adjustRightInd w:val="0"/>
        <w:snapToGrid w:val="0"/>
        <w:spacing w:line="560" w:lineRule="exact"/>
        <w:ind w:right="-340" w:rightChars="-104" w:firstLine="654" w:firstLineChars="200"/>
        <w:rPr>
          <w:rFonts w:hint="default" w:ascii="Times New Roman" w:hAnsi="Times New Roman" w:eastAsia="黑体"/>
          <w:bCs/>
          <w:szCs w:val="32"/>
        </w:rPr>
      </w:pPr>
      <w:r>
        <w:rPr>
          <w:rFonts w:hint="default" w:ascii="Times New Roman" w:hAnsi="Times New Roman" w:eastAsia="黑体"/>
          <w:bCs/>
          <w:szCs w:val="32"/>
        </w:rPr>
        <w:t>第一部分：部门概况</w:t>
      </w:r>
    </w:p>
    <w:p w14:paraId="4D4C112D">
      <w:pPr>
        <w:adjustRightInd w:val="0"/>
        <w:snapToGrid w:val="0"/>
        <w:spacing w:line="560" w:lineRule="exact"/>
        <w:ind w:right="-340" w:rightChars="-104" w:firstLine="654" w:firstLineChars="200"/>
        <w:rPr>
          <w:rFonts w:hint="default" w:ascii="Times New Roman" w:hAnsi="Times New Roman" w:eastAsia="黑体"/>
          <w:szCs w:val="32"/>
        </w:rPr>
      </w:pPr>
      <w:r>
        <w:rPr>
          <w:rFonts w:hint="default" w:ascii="Times New Roman" w:hAnsi="Times New Roman" w:eastAsia="黑体"/>
          <w:bCs/>
          <w:szCs w:val="32"/>
        </w:rPr>
        <w:t>一</w:t>
      </w:r>
      <w:r>
        <w:rPr>
          <w:rFonts w:hint="default" w:ascii="Times New Roman" w:hAnsi="Times New Roman" w:eastAsia="黑体"/>
          <w:szCs w:val="32"/>
        </w:rPr>
        <w:t>、主要职责</w:t>
      </w:r>
    </w:p>
    <w:p w14:paraId="3EFF87B9">
      <w:pPr>
        <w:spacing w:line="560" w:lineRule="exact"/>
        <w:ind w:firstLine="654" w:firstLineChars="200"/>
        <w:rPr>
          <w:rFonts w:hint="default" w:ascii="Times New Roman" w:hAnsi="Times New Roman"/>
          <w:szCs w:val="32"/>
        </w:rPr>
      </w:pPr>
      <w:r>
        <w:rPr>
          <w:rFonts w:hint="default" w:ascii="Times New Roman" w:hAnsi="Times New Roman"/>
          <w:szCs w:val="32"/>
        </w:rPr>
        <w:t>（一）贯彻执行国家、自治区、玉林市制定的医疗保险、大额医疗保险、生育保险、长期护理保险、城乡医疗救助和离休干部医疗保障有关法律、法规、规章和政策规定。</w:t>
      </w:r>
    </w:p>
    <w:p w14:paraId="37899534">
      <w:pPr>
        <w:spacing w:line="560" w:lineRule="exact"/>
        <w:ind w:firstLine="654" w:firstLineChars="200"/>
        <w:rPr>
          <w:rFonts w:hint="default" w:ascii="Times New Roman" w:hAnsi="Times New Roman"/>
          <w:szCs w:val="32"/>
        </w:rPr>
      </w:pPr>
      <w:r>
        <w:rPr>
          <w:rFonts w:hint="default" w:ascii="Times New Roman" w:hAnsi="Times New Roman"/>
          <w:szCs w:val="32"/>
        </w:rPr>
        <w:t>（二）负责全市医疗保险、大额医疗保险、生育保险、长期护理保险、城乡医疗救助和离休干部医疗保障工作；组织实施医疗保险、生育保险、长期护理保险及城乡医疗救助经办规程、相关技术和服务标准、对全市医疗保障经办机构进行业务指导。</w:t>
      </w:r>
    </w:p>
    <w:p w14:paraId="2667DD07">
      <w:pPr>
        <w:spacing w:line="560" w:lineRule="exact"/>
        <w:ind w:firstLine="654" w:firstLineChars="200"/>
        <w:rPr>
          <w:rFonts w:hint="default" w:ascii="Times New Roman" w:hAnsi="Times New Roman"/>
          <w:szCs w:val="32"/>
        </w:rPr>
      </w:pPr>
      <w:r>
        <w:rPr>
          <w:rFonts w:hint="default" w:ascii="Times New Roman" w:hAnsi="Times New Roman"/>
          <w:szCs w:val="32"/>
        </w:rPr>
        <w:t>（三）承担中直、区直驻玉单位及本级职工（含玉东新区）基本医疗保险、生育保险、大额医疗费用统筹、公务员医疗补助、长期护理保险、离休干部医疗保障和玉东新区城乡居民基本医疗保险、大病保险及医疗救助的经办管理和稽核工作。</w:t>
      </w:r>
    </w:p>
    <w:p w14:paraId="4A0F7FF7">
      <w:pPr>
        <w:spacing w:line="560" w:lineRule="exact"/>
        <w:ind w:firstLine="654" w:firstLineChars="200"/>
        <w:rPr>
          <w:rFonts w:hint="default" w:ascii="Times New Roman" w:hAnsi="Times New Roman"/>
          <w:szCs w:val="32"/>
        </w:rPr>
      </w:pPr>
      <w:r>
        <w:rPr>
          <w:rFonts w:hint="default" w:ascii="Times New Roman" w:hAnsi="Times New Roman"/>
          <w:szCs w:val="32"/>
        </w:rPr>
        <w:t>（四）负责全市医疗保障基金运行管理，制定相关财务管理制度并组织实施，开展医疗保障经办机构内控管理和风险防控。</w:t>
      </w:r>
    </w:p>
    <w:p w14:paraId="6F58BED8">
      <w:pPr>
        <w:spacing w:line="560" w:lineRule="exact"/>
        <w:ind w:firstLine="654" w:firstLineChars="200"/>
        <w:rPr>
          <w:rFonts w:hint="default" w:ascii="Times New Roman" w:hAnsi="Times New Roman"/>
          <w:szCs w:val="32"/>
        </w:rPr>
      </w:pPr>
      <w:r>
        <w:rPr>
          <w:rFonts w:hint="default" w:ascii="Times New Roman" w:hAnsi="Times New Roman"/>
          <w:szCs w:val="32"/>
        </w:rPr>
        <w:t>（五）负责定点医药机构医疗服务的协议管理，并依协议处理欺诈骗保行为，开展定点医药机构医疗服务的医保基金监管事务性工作，组织定点医药机构服务协议的签订、实施、评估。</w:t>
      </w:r>
    </w:p>
    <w:p w14:paraId="57E61DFB">
      <w:pPr>
        <w:spacing w:line="560" w:lineRule="exact"/>
        <w:ind w:firstLine="654" w:firstLineChars="200"/>
        <w:rPr>
          <w:rFonts w:hint="default" w:ascii="Times New Roman" w:hAnsi="Times New Roman"/>
          <w:szCs w:val="32"/>
        </w:rPr>
      </w:pPr>
      <w:r>
        <w:rPr>
          <w:rFonts w:hint="default" w:ascii="Times New Roman" w:hAnsi="Times New Roman"/>
          <w:szCs w:val="32"/>
        </w:rPr>
        <w:t>（六）负责跨省、区内和全市异地就医的管理及费用结算、清算工作。</w:t>
      </w:r>
    </w:p>
    <w:p w14:paraId="79C3403C">
      <w:pPr>
        <w:spacing w:line="560" w:lineRule="exact"/>
        <w:ind w:firstLine="654" w:firstLineChars="200"/>
        <w:rPr>
          <w:rFonts w:hint="default" w:ascii="Times New Roman" w:hAnsi="Times New Roman"/>
          <w:szCs w:val="32"/>
        </w:rPr>
      </w:pPr>
      <w:r>
        <w:rPr>
          <w:rFonts w:hint="default" w:ascii="Times New Roman" w:hAnsi="Times New Roman"/>
          <w:szCs w:val="32"/>
        </w:rPr>
        <w:t>（七）完成市委、市政府和市医疗保障局交办的其他任务。</w:t>
      </w:r>
    </w:p>
    <w:p w14:paraId="5F47E5E4">
      <w:pPr>
        <w:spacing w:line="560" w:lineRule="exact"/>
        <w:ind w:firstLine="654" w:firstLineChars="200"/>
        <w:rPr>
          <w:rFonts w:hint="default" w:ascii="Times New Roman" w:hAnsi="Times New Roman" w:eastAsia="黑体"/>
          <w:szCs w:val="32"/>
        </w:rPr>
      </w:pPr>
      <w:r>
        <w:rPr>
          <w:rFonts w:hint="default" w:ascii="Times New Roman" w:hAnsi="Times New Roman" w:eastAsia="黑体"/>
          <w:szCs w:val="32"/>
        </w:rPr>
        <w:t>二、机构设置情况</w:t>
      </w:r>
    </w:p>
    <w:p w14:paraId="57BD90F2">
      <w:pPr>
        <w:spacing w:line="560" w:lineRule="exact"/>
        <w:ind w:firstLine="654" w:firstLineChars="200"/>
        <w:rPr>
          <w:rFonts w:hint="default" w:ascii="Times New Roman" w:hAnsi="Times New Roman" w:eastAsia="仿宋_GB2312" w:cs="Times New Roman"/>
          <w:i w:val="0"/>
          <w:iCs w:val="0"/>
          <w:caps w:val="0"/>
          <w:color w:val="525353"/>
          <w:spacing w:val="0"/>
          <w:sz w:val="32"/>
          <w:szCs w:val="32"/>
        </w:rPr>
      </w:pPr>
      <w:r>
        <w:rPr>
          <w:rFonts w:hint="default" w:ascii="Times New Roman" w:hAnsi="Times New Roman"/>
          <w:szCs w:val="32"/>
        </w:rPr>
        <w:t>玉林市医疗保障服务中心是玉林市医疗保障局</w:t>
      </w:r>
      <w:r>
        <w:rPr>
          <w:rFonts w:hint="eastAsia"/>
          <w:szCs w:val="32"/>
          <w:lang w:eastAsia="zh-CN"/>
        </w:rPr>
        <w:t>管理</w:t>
      </w:r>
      <w:r>
        <w:rPr>
          <w:rFonts w:hint="default" w:ascii="Times New Roman" w:hAnsi="Times New Roman"/>
          <w:szCs w:val="32"/>
        </w:rPr>
        <w:t>的副处级公益一类事业单位，单位内设科室9个，分别为综合科、财务科、申报受理科、参保登记科、待遇审核科、医保定点管理科、稽核科、信息与档案科、玉东新区管理部。</w:t>
      </w:r>
    </w:p>
    <w:p w14:paraId="6DE80139">
      <w:pPr>
        <w:adjustRightInd w:val="0"/>
        <w:snapToGrid w:val="0"/>
        <w:spacing w:line="560" w:lineRule="exact"/>
        <w:ind w:right="-340" w:rightChars="-104" w:firstLine="0" w:firstLineChars="0"/>
        <w:rPr>
          <w:rFonts w:hint="default" w:ascii="Times New Roman" w:hAnsi="Times New Roman" w:eastAsia="黑体"/>
          <w:bCs/>
          <w:szCs w:val="32"/>
        </w:rPr>
      </w:pPr>
      <w:r>
        <w:rPr>
          <w:rFonts w:hint="eastAsia" w:eastAsia="黑体"/>
          <w:szCs w:val="32"/>
          <w:lang w:val="en-US" w:eastAsia="zh-CN"/>
        </w:rPr>
        <w:t xml:space="preserve">   </w:t>
      </w:r>
      <w:r>
        <w:rPr>
          <w:rFonts w:hint="default" w:ascii="Times New Roman" w:eastAsia="黑体"/>
          <w:szCs w:val="32"/>
        </w:rPr>
        <w:t>第二部分：</w:t>
      </w:r>
      <w:r>
        <w:rPr>
          <w:rFonts w:hint="eastAsia" w:eastAsia="黑体"/>
          <w:szCs w:val="32"/>
          <w:lang w:eastAsia="zh-CN"/>
        </w:rPr>
        <w:t>玉林市医疗保障服务中心</w:t>
      </w:r>
      <w:r>
        <w:rPr>
          <w:rFonts w:hint="default" w:ascii="Times New Roman" w:hAnsi="Times New Roman" w:eastAsia="黑体"/>
          <w:szCs w:val="32"/>
        </w:rPr>
        <w:t>202</w:t>
      </w:r>
      <w:r>
        <w:rPr>
          <w:rFonts w:hint="eastAsia" w:eastAsia="黑体"/>
          <w:szCs w:val="32"/>
          <w:lang w:val="en-US" w:eastAsia="zh-CN"/>
        </w:rPr>
        <w:t>6</w:t>
      </w:r>
      <w:r>
        <w:rPr>
          <w:rFonts w:hint="default" w:ascii="Times New Roman" w:hAnsi="Times New Roman" w:eastAsia="黑体"/>
          <w:szCs w:val="32"/>
        </w:rPr>
        <w:t>年</w:t>
      </w:r>
      <w:r>
        <w:rPr>
          <w:rFonts w:hint="default" w:ascii="Times New Roman" w:eastAsia="黑体"/>
          <w:szCs w:val="32"/>
        </w:rPr>
        <w:t>部门预算情况说明</w:t>
      </w:r>
    </w:p>
    <w:p w14:paraId="7BF69820">
      <w:pPr>
        <w:tabs>
          <w:tab w:val="center" w:pos="4475"/>
        </w:tabs>
        <w:spacing w:line="560" w:lineRule="exact"/>
        <w:ind w:firstLine="645"/>
        <w:rPr>
          <w:rFonts w:hint="default" w:ascii="Times New Roman" w:eastAsia="黑体"/>
          <w:szCs w:val="32"/>
        </w:rPr>
      </w:pPr>
      <w:r>
        <w:rPr>
          <w:rFonts w:hint="default" w:ascii="Times New Roman" w:eastAsia="黑体"/>
          <w:szCs w:val="32"/>
        </w:rPr>
        <w:t>一、部门</w:t>
      </w:r>
      <w:r>
        <w:rPr>
          <w:rFonts w:hint="default" w:ascii="Times New Roman" w:eastAsia="黑体"/>
          <w:szCs w:val="32"/>
          <w:lang w:eastAsia="zh-CN"/>
        </w:rPr>
        <w:t>预算</w:t>
      </w:r>
      <w:r>
        <w:rPr>
          <w:rFonts w:hint="default" w:ascii="Times New Roman" w:eastAsia="黑体"/>
          <w:szCs w:val="32"/>
        </w:rPr>
        <w:t>收支</w:t>
      </w:r>
      <w:r>
        <w:rPr>
          <w:rFonts w:hint="default" w:ascii="Times New Roman" w:eastAsia="黑体"/>
          <w:szCs w:val="32"/>
          <w:lang w:eastAsia="zh-CN"/>
        </w:rPr>
        <w:t>增减变化</w:t>
      </w:r>
      <w:r>
        <w:rPr>
          <w:rFonts w:hint="default" w:ascii="Times New Roman" w:eastAsia="黑体"/>
          <w:szCs w:val="32"/>
        </w:rPr>
        <w:t>情况说明</w:t>
      </w:r>
    </w:p>
    <w:p w14:paraId="4A64ABAE">
      <w:pPr>
        <w:tabs>
          <w:tab w:val="center" w:pos="4475"/>
        </w:tabs>
        <w:spacing w:line="560" w:lineRule="exact"/>
        <w:ind w:firstLine="645"/>
        <w:rPr>
          <w:rFonts w:hint="default" w:ascii="Times New Roman" w:eastAsia="黑体"/>
          <w:szCs w:val="32"/>
        </w:rPr>
      </w:pPr>
      <w:r>
        <w:rPr>
          <w:rFonts w:hint="default" w:ascii="Times New Roman" w:hAnsi="Times New Roman" w:eastAsia="仿宋_GB2312" w:cs="Times New Roman"/>
          <w:szCs w:val="32"/>
          <w:highlight w:val="none"/>
          <w:lang w:eastAsia="zh-CN"/>
        </w:rPr>
        <w:t>我</w:t>
      </w:r>
      <w:r>
        <w:rPr>
          <w:rFonts w:hint="eastAsia" w:cs="Times New Roman"/>
          <w:szCs w:val="32"/>
          <w:highlight w:val="none"/>
          <w:lang w:eastAsia="zh-CN"/>
        </w:rPr>
        <w:t>单位</w:t>
      </w:r>
      <w:r>
        <w:rPr>
          <w:rFonts w:hint="default" w:ascii="Times New Roman" w:eastAsia="仿宋_GB2312"/>
          <w:sz w:val="32"/>
          <w:szCs w:val="32"/>
        </w:rPr>
        <w:t>总收入1,154.59万元</w:t>
      </w:r>
      <w:r>
        <w:rPr>
          <w:rFonts w:hint="default" w:ascii="Times New Roman" w:eastAsia="仿宋_GB2312"/>
          <w:sz w:val="32"/>
          <w:szCs w:val="32"/>
          <w:lang w:eastAsia="zh-CN"/>
        </w:rPr>
        <w:t>，</w:t>
      </w:r>
      <w:r>
        <w:rPr>
          <w:rFonts w:hint="default" w:ascii="Times New Roman" w:eastAsia="仿宋_GB2312"/>
          <w:sz w:val="32"/>
          <w:szCs w:val="32"/>
        </w:rPr>
        <w:t>总支出1,154.59万元</w:t>
      </w:r>
      <w:r>
        <w:rPr>
          <w:rFonts w:hint="default" w:ascii="Times New Roman" w:eastAsia="仿宋_GB2312"/>
          <w:sz w:val="32"/>
          <w:szCs w:val="32"/>
          <w:highlight w:val="none"/>
          <w:lang w:eastAsia="zh-CN"/>
        </w:rPr>
        <w:t>（不含财政拨款上年未列支结转收支数）</w:t>
      </w:r>
      <w:r>
        <w:rPr>
          <w:rFonts w:hint="default" w:ascii="Times New Roman" w:eastAsia="仿宋_GB2312"/>
          <w:sz w:val="32"/>
          <w:szCs w:val="32"/>
          <w:lang w:eastAsia="zh-CN"/>
        </w:rPr>
        <w:t>。</w:t>
      </w:r>
      <w:r>
        <w:rPr>
          <w:rFonts w:hint="default" w:ascii="Times New Roman"/>
          <w:sz w:val="32"/>
          <w:szCs w:val="32"/>
          <w:lang w:eastAsia="zh-CN"/>
        </w:rPr>
        <w:t>总收入较上年减少</w:t>
      </w:r>
      <w:r>
        <w:rPr>
          <w:rFonts w:hint="eastAsia"/>
          <w:sz w:val="32"/>
          <w:szCs w:val="32"/>
          <w:lang w:val="en-US" w:eastAsia="zh-CN"/>
        </w:rPr>
        <w:t>183.02</w:t>
      </w:r>
      <w:r>
        <w:rPr>
          <w:rFonts w:hint="default" w:ascii="Times New Roman"/>
          <w:sz w:val="32"/>
          <w:szCs w:val="32"/>
          <w:lang w:val="en" w:eastAsia="zh-CN"/>
        </w:rPr>
        <w:t>万元，</w:t>
      </w:r>
      <w:r>
        <w:rPr>
          <w:rFonts w:hint="eastAsia"/>
          <w:sz w:val="32"/>
          <w:szCs w:val="32"/>
          <w:lang w:eastAsia="zh-CN"/>
        </w:rPr>
        <w:t>下降</w:t>
      </w:r>
      <w:r>
        <w:rPr>
          <w:rFonts w:hint="eastAsia"/>
          <w:sz w:val="32"/>
          <w:szCs w:val="32"/>
          <w:lang w:val="en-US" w:eastAsia="zh-CN"/>
        </w:rPr>
        <w:t>13.68</w:t>
      </w:r>
      <w:r>
        <w:rPr>
          <w:rFonts w:hint="default" w:ascii="Times New Roman"/>
          <w:sz w:val="32"/>
          <w:szCs w:val="32"/>
          <w:lang w:val="en-US" w:eastAsia="zh-CN"/>
        </w:rPr>
        <w:t>%</w:t>
      </w:r>
      <w:r>
        <w:rPr>
          <w:rFonts w:hint="eastAsia"/>
          <w:sz w:val="32"/>
          <w:szCs w:val="32"/>
          <w:lang w:val="en-US" w:eastAsia="zh-CN"/>
        </w:rPr>
        <w:t>；</w:t>
      </w:r>
      <w:r>
        <w:rPr>
          <w:rFonts w:hint="default" w:ascii="Times New Roman"/>
          <w:sz w:val="32"/>
          <w:szCs w:val="32"/>
          <w:lang w:eastAsia="zh-CN"/>
        </w:rPr>
        <w:t>总</w:t>
      </w:r>
      <w:r>
        <w:rPr>
          <w:rFonts w:hint="eastAsia"/>
          <w:sz w:val="32"/>
          <w:szCs w:val="32"/>
          <w:lang w:eastAsia="zh-CN"/>
        </w:rPr>
        <w:t>支出</w:t>
      </w:r>
      <w:r>
        <w:rPr>
          <w:rFonts w:hint="default" w:ascii="Times New Roman"/>
          <w:sz w:val="32"/>
          <w:szCs w:val="32"/>
          <w:lang w:eastAsia="zh-CN"/>
        </w:rPr>
        <w:t>较上年减少</w:t>
      </w:r>
      <w:r>
        <w:rPr>
          <w:rFonts w:hint="eastAsia"/>
          <w:sz w:val="32"/>
          <w:szCs w:val="32"/>
          <w:lang w:val="en-US" w:eastAsia="zh-CN"/>
        </w:rPr>
        <w:t>183.02</w:t>
      </w:r>
      <w:r>
        <w:rPr>
          <w:rFonts w:hint="default" w:ascii="Times New Roman"/>
          <w:sz w:val="32"/>
          <w:szCs w:val="32"/>
          <w:lang w:val="en" w:eastAsia="zh-CN"/>
        </w:rPr>
        <w:t>万元，</w:t>
      </w:r>
      <w:r>
        <w:rPr>
          <w:rFonts w:hint="eastAsia"/>
          <w:sz w:val="32"/>
          <w:szCs w:val="32"/>
          <w:lang w:eastAsia="zh-CN"/>
        </w:rPr>
        <w:t>下降</w:t>
      </w:r>
      <w:r>
        <w:rPr>
          <w:rFonts w:hint="eastAsia"/>
          <w:sz w:val="32"/>
          <w:szCs w:val="32"/>
          <w:lang w:val="en-US" w:eastAsia="zh-CN"/>
        </w:rPr>
        <w:t>13.68</w:t>
      </w:r>
      <w:r>
        <w:rPr>
          <w:rFonts w:hint="default" w:ascii="Times New Roman"/>
          <w:sz w:val="32"/>
          <w:szCs w:val="32"/>
          <w:lang w:val="en-US" w:eastAsia="zh-CN"/>
        </w:rPr>
        <w:t>%</w:t>
      </w:r>
      <w:r>
        <w:rPr>
          <w:rFonts w:hint="eastAsia"/>
          <w:sz w:val="32"/>
          <w:szCs w:val="32"/>
          <w:lang w:val="en-US" w:eastAsia="zh-CN"/>
        </w:rPr>
        <w:t>。</w:t>
      </w:r>
      <w:r>
        <w:rPr>
          <w:rFonts w:hint="default" w:ascii="Times New Roman"/>
          <w:sz w:val="32"/>
          <w:szCs w:val="32"/>
          <w:lang w:val="en-US" w:eastAsia="zh-CN"/>
        </w:rPr>
        <w:t>主要原因是</w:t>
      </w:r>
      <w:r>
        <w:rPr>
          <w:rFonts w:hint="eastAsia"/>
          <w:sz w:val="32"/>
          <w:szCs w:val="32"/>
          <w:lang w:val="en-US" w:eastAsia="zh-CN"/>
        </w:rPr>
        <w:t>落实财政过紧日子要求，压减项目经费预算</w:t>
      </w:r>
      <w:r>
        <w:rPr>
          <w:rFonts w:hint="default" w:ascii="Times New Roman"/>
          <w:sz w:val="32"/>
          <w:szCs w:val="32"/>
          <w:lang w:val="en-US" w:eastAsia="zh-CN"/>
        </w:rPr>
        <w:t>。</w:t>
      </w:r>
    </w:p>
    <w:p w14:paraId="2824995E">
      <w:pPr>
        <w:tabs>
          <w:tab w:val="center" w:pos="4475"/>
        </w:tabs>
        <w:spacing w:line="560" w:lineRule="exact"/>
        <w:ind w:firstLine="645"/>
        <w:rPr>
          <w:rFonts w:hint="default" w:ascii="Times New Roman" w:eastAsia="黑体"/>
          <w:szCs w:val="32"/>
        </w:rPr>
      </w:pPr>
      <w:r>
        <w:rPr>
          <w:rFonts w:hint="default" w:ascii="Times New Roman" w:eastAsia="黑体"/>
          <w:szCs w:val="32"/>
        </w:rPr>
        <w:t>二、部门</w:t>
      </w:r>
      <w:r>
        <w:rPr>
          <w:rFonts w:hint="default" w:ascii="Times New Roman" w:eastAsia="黑体"/>
          <w:szCs w:val="32"/>
          <w:lang w:eastAsia="zh-CN"/>
        </w:rPr>
        <w:t>预算</w:t>
      </w:r>
      <w:r>
        <w:rPr>
          <w:rFonts w:hint="default" w:ascii="Times New Roman" w:eastAsia="黑体"/>
          <w:szCs w:val="32"/>
        </w:rPr>
        <w:t>收入总体情况说明</w:t>
      </w:r>
    </w:p>
    <w:p w14:paraId="7862DB6D">
      <w:pPr>
        <w:tabs>
          <w:tab w:val="center" w:pos="4475"/>
        </w:tabs>
        <w:spacing w:line="560" w:lineRule="exact"/>
        <w:ind w:firstLine="645"/>
        <w:rPr>
          <w:rFonts w:hint="default" w:ascii="Times New Roman" w:eastAsia="黑体"/>
          <w:szCs w:val="32"/>
        </w:rPr>
      </w:pPr>
      <w:r>
        <w:rPr>
          <w:rFonts w:hint="default" w:ascii="Times New Roman" w:hAnsi="Times New Roman" w:eastAsia="仿宋_GB2312" w:cs="Times New Roman"/>
          <w:szCs w:val="32"/>
          <w:highlight w:val="none"/>
          <w:lang w:eastAsia="zh-CN"/>
        </w:rPr>
        <w:t>我</w:t>
      </w:r>
      <w:r>
        <w:rPr>
          <w:rFonts w:hint="eastAsia" w:cs="Times New Roman"/>
          <w:szCs w:val="32"/>
          <w:highlight w:val="none"/>
          <w:lang w:eastAsia="zh-CN"/>
        </w:rPr>
        <w:t>单位</w:t>
      </w:r>
      <w:r>
        <w:rPr>
          <w:rFonts w:hint="default" w:ascii="Times New Roman" w:eastAsia="仿宋_GB2312"/>
          <w:sz w:val="32"/>
          <w:szCs w:val="32"/>
        </w:rPr>
        <w:t>总收入1,154.59万元</w:t>
      </w:r>
      <w:r>
        <w:rPr>
          <w:rFonts w:hint="default" w:ascii="Times New Roman" w:eastAsia="仿宋_GB2312"/>
          <w:sz w:val="32"/>
          <w:szCs w:val="32"/>
          <w:lang w:eastAsia="zh-CN"/>
        </w:rPr>
        <w:t>，</w:t>
      </w:r>
      <w:r>
        <w:rPr>
          <w:rFonts w:hint="default" w:ascii="Times New Roman"/>
          <w:sz w:val="32"/>
          <w:szCs w:val="32"/>
          <w:highlight w:val="none"/>
          <w:lang w:eastAsia="zh-CN"/>
        </w:rPr>
        <w:t>较上年</w:t>
      </w:r>
      <w:r>
        <w:rPr>
          <w:rFonts w:hint="default" w:ascii="Times New Roman"/>
          <w:sz w:val="32"/>
          <w:szCs w:val="32"/>
          <w:lang w:eastAsia="zh-CN"/>
        </w:rPr>
        <w:t>减少</w:t>
      </w:r>
      <w:r>
        <w:rPr>
          <w:rFonts w:hint="eastAsia"/>
          <w:sz w:val="32"/>
          <w:szCs w:val="32"/>
          <w:lang w:val="en-US" w:eastAsia="zh-CN"/>
        </w:rPr>
        <w:t>183.02</w:t>
      </w:r>
      <w:r>
        <w:rPr>
          <w:rFonts w:hint="default" w:ascii="Times New Roman"/>
          <w:sz w:val="32"/>
          <w:szCs w:val="32"/>
          <w:lang w:val="en" w:eastAsia="zh-CN"/>
        </w:rPr>
        <w:t>万元，</w:t>
      </w:r>
      <w:r>
        <w:rPr>
          <w:rFonts w:hint="eastAsia"/>
          <w:sz w:val="32"/>
          <w:szCs w:val="32"/>
          <w:lang w:eastAsia="zh-CN"/>
        </w:rPr>
        <w:t>下降</w:t>
      </w:r>
      <w:r>
        <w:rPr>
          <w:rFonts w:hint="eastAsia"/>
          <w:sz w:val="32"/>
          <w:szCs w:val="32"/>
          <w:lang w:val="en-US" w:eastAsia="zh-CN"/>
        </w:rPr>
        <w:t>13.68</w:t>
      </w:r>
      <w:r>
        <w:rPr>
          <w:rFonts w:hint="default" w:ascii="Times New Roman"/>
          <w:sz w:val="32"/>
          <w:szCs w:val="32"/>
          <w:lang w:val="en-US" w:eastAsia="zh-CN"/>
        </w:rPr>
        <w:t>%。</w:t>
      </w:r>
      <w:r>
        <w:rPr>
          <w:rFonts w:hint="eastAsia"/>
          <w:sz w:val="32"/>
          <w:szCs w:val="32"/>
          <w:lang w:val="en-US" w:eastAsia="zh-CN"/>
        </w:rPr>
        <w:t>单位</w:t>
      </w:r>
      <w:r>
        <w:rPr>
          <w:rFonts w:hint="default" w:ascii="Times New Roman"/>
          <w:sz w:val="32"/>
          <w:szCs w:val="32"/>
          <w:lang w:val="en-US" w:eastAsia="zh-CN"/>
        </w:rPr>
        <w:t>收入主要</w:t>
      </w:r>
      <w:r>
        <w:rPr>
          <w:rFonts w:hint="eastAsia"/>
          <w:sz w:val="32"/>
          <w:szCs w:val="32"/>
          <w:lang w:val="en-US" w:eastAsia="zh-CN"/>
        </w:rPr>
        <w:t>为</w:t>
      </w:r>
      <w:r>
        <w:rPr>
          <w:rFonts w:hint="default" w:ascii="Times New Roman"/>
          <w:sz w:val="32"/>
          <w:szCs w:val="32"/>
          <w:lang w:val="en-US" w:eastAsia="zh-CN"/>
        </w:rPr>
        <w:t>一般公共预算拨款</w:t>
      </w:r>
      <w:r>
        <w:rPr>
          <w:rFonts w:hint="eastAsia"/>
          <w:sz w:val="32"/>
          <w:szCs w:val="32"/>
          <w:lang w:val="en-US" w:eastAsia="zh-CN"/>
        </w:rPr>
        <w:t>，</w:t>
      </w:r>
      <w:r>
        <w:rPr>
          <w:rFonts w:ascii="Times New Roman" w:hAnsi="Times New Roman" w:eastAsia="仿宋_GB2312" w:cs="Times New Roman"/>
          <w:i w:val="0"/>
          <w:iCs w:val="0"/>
          <w:caps w:val="0"/>
          <w:color w:val="525353"/>
          <w:spacing w:val="0"/>
          <w:sz w:val="32"/>
          <w:szCs w:val="32"/>
          <w:shd w:val="clear" w:color="auto" w:fill="auto"/>
        </w:rPr>
        <w:t>占本年总收入100%。</w:t>
      </w:r>
      <w:r>
        <w:rPr>
          <w:rFonts w:hint="eastAsia"/>
          <w:sz w:val="32"/>
          <w:szCs w:val="32"/>
          <w:lang w:val="en-US" w:eastAsia="zh-CN"/>
        </w:rPr>
        <w:t>其中</w:t>
      </w:r>
      <w:r>
        <w:rPr>
          <w:rFonts w:hint="default" w:ascii="Times New Roman"/>
          <w:sz w:val="32"/>
          <w:szCs w:val="32"/>
          <w:lang w:val="en-US" w:eastAsia="zh-CN"/>
        </w:rPr>
        <w:t>：上级补助</w:t>
      </w:r>
      <w:r>
        <w:rPr>
          <w:rFonts w:hint="eastAsia"/>
          <w:sz w:val="32"/>
          <w:szCs w:val="32"/>
          <w:lang w:val="en-US" w:eastAsia="zh-CN"/>
        </w:rPr>
        <w:t>270万元，占本年总收入23.38%，</w:t>
      </w:r>
      <w:r>
        <w:rPr>
          <w:rFonts w:hint="default" w:ascii="Times New Roman"/>
          <w:sz w:val="32"/>
          <w:szCs w:val="32"/>
          <w:highlight w:val="none"/>
          <w:lang w:eastAsia="zh-CN"/>
        </w:rPr>
        <w:t>较上年</w:t>
      </w:r>
      <w:r>
        <w:rPr>
          <w:rFonts w:hint="eastAsia"/>
          <w:sz w:val="32"/>
          <w:szCs w:val="32"/>
          <w:lang w:eastAsia="zh-CN"/>
        </w:rPr>
        <w:t>增加</w:t>
      </w:r>
      <w:r>
        <w:rPr>
          <w:rFonts w:hint="eastAsia"/>
          <w:sz w:val="32"/>
          <w:szCs w:val="32"/>
          <w:lang w:val="en-US" w:eastAsia="zh-CN"/>
        </w:rPr>
        <w:t>198</w:t>
      </w:r>
      <w:r>
        <w:rPr>
          <w:rFonts w:hint="default" w:ascii="Times New Roman"/>
          <w:sz w:val="32"/>
          <w:szCs w:val="32"/>
          <w:lang w:val="en" w:eastAsia="zh-CN"/>
        </w:rPr>
        <w:t>万元，</w:t>
      </w:r>
      <w:r>
        <w:rPr>
          <w:rFonts w:hint="eastAsia"/>
          <w:sz w:val="32"/>
          <w:szCs w:val="32"/>
          <w:lang w:eastAsia="zh-CN"/>
        </w:rPr>
        <w:t>增长</w:t>
      </w:r>
      <w:r>
        <w:rPr>
          <w:rFonts w:hint="eastAsia"/>
          <w:sz w:val="32"/>
          <w:szCs w:val="32"/>
          <w:lang w:val="en-US" w:eastAsia="zh-CN"/>
        </w:rPr>
        <w:t>275</w:t>
      </w:r>
      <w:r>
        <w:rPr>
          <w:rFonts w:hint="default" w:ascii="Times New Roman"/>
          <w:sz w:val="32"/>
          <w:szCs w:val="32"/>
          <w:lang w:val="en-US" w:eastAsia="zh-CN"/>
        </w:rPr>
        <w:t>%</w:t>
      </w:r>
      <w:r>
        <w:rPr>
          <w:rFonts w:hint="eastAsia"/>
          <w:sz w:val="32"/>
          <w:szCs w:val="32"/>
          <w:lang w:val="en-US" w:eastAsia="zh-CN"/>
        </w:rPr>
        <w:t>，主要原因是上级下达市本级2026年中央财政医疗服务与保障能力提升补助资金（医疗保障服务能力建设部分）增加；本级资金884.59万元，占本年总收入76.62%，较上年减少188.02万元，下降17.53%，主要原因是落实财政过紧日子要求，压减项目经费预算</w:t>
      </w:r>
      <w:r>
        <w:rPr>
          <w:rFonts w:hint="default" w:ascii="Times New Roman"/>
          <w:sz w:val="32"/>
          <w:szCs w:val="32"/>
          <w:lang w:val="en-US" w:eastAsia="zh-CN"/>
        </w:rPr>
        <w:t>。</w:t>
      </w:r>
    </w:p>
    <w:p w14:paraId="3BD17E0C">
      <w:pPr>
        <w:tabs>
          <w:tab w:val="center" w:pos="4475"/>
        </w:tabs>
        <w:spacing w:line="560" w:lineRule="exact"/>
        <w:ind w:firstLine="645"/>
        <w:rPr>
          <w:rFonts w:hint="default" w:ascii="Times New Roman" w:eastAsia="黑体"/>
          <w:szCs w:val="32"/>
        </w:rPr>
      </w:pPr>
      <w:r>
        <w:rPr>
          <w:rFonts w:hint="default" w:ascii="Times New Roman" w:eastAsia="黑体"/>
          <w:szCs w:val="32"/>
        </w:rPr>
        <w:t>三、部门</w:t>
      </w:r>
      <w:r>
        <w:rPr>
          <w:rFonts w:hint="default" w:ascii="Times New Roman" w:eastAsia="黑体"/>
          <w:szCs w:val="32"/>
          <w:lang w:eastAsia="zh-CN"/>
        </w:rPr>
        <w:t>预算</w:t>
      </w:r>
      <w:r>
        <w:rPr>
          <w:rFonts w:hint="default" w:ascii="Times New Roman" w:eastAsia="黑体"/>
          <w:szCs w:val="32"/>
        </w:rPr>
        <w:t>支出总体情况说明</w:t>
      </w:r>
    </w:p>
    <w:p w14:paraId="4F6BFB87">
      <w:pPr>
        <w:tabs>
          <w:tab w:val="center" w:pos="4475"/>
        </w:tabs>
        <w:spacing w:line="560" w:lineRule="exact"/>
        <w:ind w:firstLine="645"/>
        <w:rPr>
          <w:rFonts w:hint="default" w:ascii="Times New Roman"/>
          <w:sz w:val="32"/>
          <w:szCs w:val="32"/>
          <w:lang w:eastAsia="zh-CN"/>
        </w:rPr>
      </w:pPr>
      <w:r>
        <w:rPr>
          <w:rFonts w:hint="default" w:ascii="Times New Roman" w:hAnsi="Times New Roman" w:eastAsia="仿宋_GB2312" w:cs="Times New Roman"/>
          <w:szCs w:val="32"/>
          <w:highlight w:val="none"/>
          <w:lang w:eastAsia="zh-CN"/>
        </w:rPr>
        <w:t>我</w:t>
      </w:r>
      <w:r>
        <w:rPr>
          <w:rFonts w:hint="eastAsia" w:cs="Times New Roman"/>
          <w:szCs w:val="32"/>
          <w:highlight w:val="none"/>
          <w:lang w:eastAsia="zh-CN"/>
        </w:rPr>
        <w:t>单位</w:t>
      </w:r>
      <w:r>
        <w:rPr>
          <w:rFonts w:hint="default" w:ascii="Times New Roman" w:eastAsia="仿宋_GB2312"/>
          <w:sz w:val="32"/>
          <w:szCs w:val="32"/>
        </w:rPr>
        <w:t>总</w:t>
      </w:r>
      <w:r>
        <w:rPr>
          <w:rFonts w:hint="default" w:ascii="Times New Roman"/>
          <w:sz w:val="32"/>
          <w:szCs w:val="32"/>
          <w:lang w:eastAsia="zh-CN"/>
        </w:rPr>
        <w:t>支出</w:t>
      </w:r>
      <w:r>
        <w:rPr>
          <w:rFonts w:hint="default" w:ascii="Times New Roman" w:eastAsia="仿宋_GB2312"/>
          <w:sz w:val="32"/>
          <w:szCs w:val="32"/>
        </w:rPr>
        <w:t>1,154.59万元</w:t>
      </w:r>
      <w:r>
        <w:rPr>
          <w:rFonts w:hint="default" w:ascii="Times New Roman"/>
          <w:sz w:val="32"/>
          <w:szCs w:val="32"/>
          <w:lang w:eastAsia="zh-CN"/>
        </w:rPr>
        <w:t>，</w:t>
      </w:r>
      <w:r>
        <w:rPr>
          <w:rFonts w:hint="default" w:ascii="Times New Roman"/>
          <w:sz w:val="32"/>
          <w:szCs w:val="32"/>
          <w:highlight w:val="none"/>
          <w:lang w:eastAsia="zh-CN"/>
        </w:rPr>
        <w:t>较上年</w:t>
      </w:r>
      <w:r>
        <w:rPr>
          <w:rFonts w:hint="default" w:ascii="Times New Roman"/>
          <w:sz w:val="32"/>
          <w:szCs w:val="32"/>
          <w:lang w:eastAsia="zh-CN"/>
        </w:rPr>
        <w:t>减少</w:t>
      </w:r>
      <w:r>
        <w:rPr>
          <w:rFonts w:hint="eastAsia"/>
          <w:sz w:val="32"/>
          <w:szCs w:val="32"/>
          <w:lang w:val="en-US" w:eastAsia="zh-CN"/>
        </w:rPr>
        <w:t>183.02</w:t>
      </w:r>
      <w:r>
        <w:rPr>
          <w:rFonts w:hint="default" w:ascii="Times New Roman"/>
          <w:sz w:val="32"/>
          <w:szCs w:val="32"/>
          <w:lang w:val="en" w:eastAsia="zh-CN"/>
        </w:rPr>
        <w:t>万元，</w:t>
      </w:r>
      <w:r>
        <w:rPr>
          <w:rFonts w:hint="eastAsia"/>
          <w:sz w:val="32"/>
          <w:szCs w:val="32"/>
          <w:lang w:eastAsia="zh-CN"/>
        </w:rPr>
        <w:t>下降</w:t>
      </w:r>
      <w:r>
        <w:rPr>
          <w:rFonts w:hint="eastAsia"/>
          <w:sz w:val="32"/>
          <w:szCs w:val="32"/>
          <w:lang w:val="en-US" w:eastAsia="zh-CN"/>
        </w:rPr>
        <w:t>13.68</w:t>
      </w:r>
      <w:r>
        <w:rPr>
          <w:rFonts w:hint="default" w:ascii="Times New Roman"/>
          <w:sz w:val="32"/>
          <w:szCs w:val="32"/>
          <w:lang w:val="en-US" w:eastAsia="zh-CN"/>
        </w:rPr>
        <w:t>%。</w:t>
      </w:r>
      <w:r>
        <w:rPr>
          <w:rFonts w:hint="eastAsia"/>
          <w:sz w:val="32"/>
          <w:szCs w:val="32"/>
          <w:lang w:val="en-US" w:eastAsia="zh-CN"/>
        </w:rPr>
        <w:t>部门支出</w:t>
      </w:r>
      <w:r>
        <w:rPr>
          <w:rFonts w:hint="default" w:ascii="Times New Roman"/>
          <w:sz w:val="32"/>
          <w:szCs w:val="32"/>
          <w:lang w:eastAsia="zh-CN"/>
        </w:rPr>
        <w:t>主要为一般公共预算拨款，占本年总收入100%。</w:t>
      </w:r>
    </w:p>
    <w:p w14:paraId="5010F604">
      <w:pPr>
        <w:tabs>
          <w:tab w:val="center" w:pos="4475"/>
        </w:tabs>
        <w:spacing w:line="560" w:lineRule="exact"/>
        <w:ind w:firstLine="645"/>
        <w:rPr>
          <w:rFonts w:hint="default" w:ascii="Times New Roman" w:eastAsia="仿宋_GB2312"/>
          <w:szCs w:val="32"/>
          <w:lang w:eastAsia="zh-CN"/>
        </w:rPr>
      </w:pPr>
      <w:r>
        <w:rPr>
          <w:rFonts w:hint="default" w:ascii="Times New Roman" w:eastAsia="仿宋_GB2312"/>
          <w:szCs w:val="32"/>
          <w:lang w:eastAsia="zh-CN"/>
        </w:rPr>
        <w:t>（一）按支出功能分类科目划分，共分为</w:t>
      </w:r>
      <w:r>
        <w:rPr>
          <w:rFonts w:hint="eastAsia"/>
          <w:szCs w:val="32"/>
          <w:lang w:eastAsia="zh-CN"/>
        </w:rPr>
        <w:t>三</w:t>
      </w:r>
      <w:r>
        <w:rPr>
          <w:rFonts w:hint="default" w:ascii="Times New Roman" w:eastAsia="仿宋_GB2312"/>
          <w:szCs w:val="32"/>
          <w:lang w:eastAsia="zh-CN"/>
        </w:rPr>
        <w:t>类，其中：</w:t>
      </w:r>
    </w:p>
    <w:p w14:paraId="2DC904CF">
      <w:pPr>
        <w:tabs>
          <w:tab w:val="center" w:pos="4475"/>
        </w:tabs>
        <w:spacing w:line="560" w:lineRule="exact"/>
        <w:ind w:firstLine="645"/>
        <w:rPr>
          <w:rFonts w:hint="default" w:ascii="Times New Roman" w:eastAsia="仿宋_GB2312"/>
          <w:szCs w:val="32"/>
          <w:lang w:eastAsia="zh-CN"/>
        </w:rPr>
      </w:pPr>
      <w:r>
        <w:rPr>
          <w:rFonts w:hint="default" w:ascii="Times New Roman" w:eastAsia="仿宋_GB2312"/>
          <w:szCs w:val="32"/>
          <w:lang w:eastAsia="zh-CN"/>
        </w:rPr>
        <w:t>1.社会保障和就业支出类科目支出84.66万元，占本年支出</w:t>
      </w:r>
      <w:r>
        <w:rPr>
          <w:rFonts w:hint="eastAsia"/>
          <w:szCs w:val="32"/>
          <w:lang w:val="en-US" w:eastAsia="zh-CN"/>
        </w:rPr>
        <w:t>7.33</w:t>
      </w:r>
      <w:r>
        <w:rPr>
          <w:rFonts w:hint="default" w:ascii="Times New Roman" w:eastAsia="仿宋_GB2312"/>
          <w:szCs w:val="32"/>
          <w:lang w:eastAsia="zh-CN"/>
        </w:rPr>
        <w:t>％，同比</w:t>
      </w:r>
      <w:r>
        <w:rPr>
          <w:rFonts w:hint="eastAsia"/>
          <w:szCs w:val="32"/>
          <w:lang w:eastAsia="zh-CN"/>
        </w:rPr>
        <w:t>增加</w:t>
      </w:r>
      <w:r>
        <w:rPr>
          <w:rFonts w:hint="eastAsia"/>
          <w:szCs w:val="32"/>
          <w:lang w:val="en-US" w:eastAsia="zh-CN"/>
        </w:rPr>
        <w:t>19.94</w:t>
      </w:r>
      <w:r>
        <w:rPr>
          <w:rFonts w:hint="default" w:ascii="Times New Roman" w:eastAsia="仿宋_GB2312"/>
          <w:szCs w:val="32"/>
          <w:lang w:eastAsia="zh-CN"/>
        </w:rPr>
        <w:t>万元，</w:t>
      </w:r>
      <w:r>
        <w:rPr>
          <w:rFonts w:hint="eastAsia"/>
          <w:szCs w:val="32"/>
          <w:lang w:eastAsia="zh-CN"/>
        </w:rPr>
        <w:t>增长</w:t>
      </w:r>
      <w:r>
        <w:rPr>
          <w:rFonts w:hint="eastAsia"/>
          <w:szCs w:val="32"/>
          <w:lang w:val="en-US" w:eastAsia="zh-CN"/>
        </w:rPr>
        <w:t>30.81</w:t>
      </w:r>
      <w:r>
        <w:rPr>
          <w:rFonts w:hint="default" w:ascii="Times New Roman" w:eastAsia="仿宋_GB2312"/>
          <w:szCs w:val="32"/>
          <w:lang w:eastAsia="zh-CN"/>
        </w:rPr>
        <w:t>％，主要原因是</w:t>
      </w:r>
      <w:r>
        <w:rPr>
          <w:rFonts w:hint="eastAsia"/>
          <w:szCs w:val="32"/>
          <w:lang w:eastAsia="zh-CN"/>
        </w:rPr>
        <w:t>在职</w:t>
      </w:r>
      <w:r>
        <w:rPr>
          <w:rFonts w:hint="default" w:ascii="Times New Roman" w:eastAsia="仿宋_GB2312"/>
          <w:szCs w:val="32"/>
          <w:lang w:eastAsia="zh-CN"/>
        </w:rPr>
        <w:t>人员</w:t>
      </w:r>
      <w:r>
        <w:rPr>
          <w:rFonts w:hint="eastAsia"/>
          <w:szCs w:val="32"/>
          <w:lang w:eastAsia="zh-CN"/>
        </w:rPr>
        <w:t>增资</w:t>
      </w:r>
      <w:r>
        <w:rPr>
          <w:rFonts w:hint="default" w:ascii="Times New Roman" w:eastAsia="仿宋_GB2312"/>
          <w:szCs w:val="32"/>
          <w:lang w:eastAsia="zh-CN"/>
        </w:rPr>
        <w:t>按规定调整机关事业单位基本养老保险、职业年金的</w:t>
      </w:r>
      <w:r>
        <w:rPr>
          <w:rFonts w:hint="eastAsia"/>
          <w:szCs w:val="32"/>
          <w:lang w:eastAsia="zh-CN"/>
        </w:rPr>
        <w:t>缴费</w:t>
      </w:r>
      <w:r>
        <w:rPr>
          <w:rFonts w:hint="default" w:ascii="Times New Roman" w:eastAsia="仿宋_GB2312"/>
          <w:szCs w:val="32"/>
          <w:lang w:eastAsia="zh-CN"/>
        </w:rPr>
        <w:t>基数。</w:t>
      </w:r>
    </w:p>
    <w:p w14:paraId="7FF4A302">
      <w:pPr>
        <w:tabs>
          <w:tab w:val="center" w:pos="4475"/>
        </w:tabs>
        <w:spacing w:line="560" w:lineRule="exact"/>
        <w:ind w:firstLine="645"/>
        <w:rPr>
          <w:rFonts w:hint="default" w:ascii="Times New Roman"/>
          <w:sz w:val="32"/>
          <w:szCs w:val="32"/>
          <w:lang w:val="en-US" w:eastAsia="zh-CN"/>
        </w:rPr>
      </w:pPr>
      <w:r>
        <w:rPr>
          <w:rFonts w:hint="default" w:ascii="Times New Roman" w:eastAsia="仿宋_GB2312"/>
          <w:szCs w:val="32"/>
          <w:lang w:eastAsia="zh-CN"/>
        </w:rPr>
        <w:t>2.卫生健康支出类科目支出1,027.25万元，占本年支出</w:t>
      </w:r>
      <w:r>
        <w:rPr>
          <w:rFonts w:hint="eastAsia"/>
          <w:szCs w:val="32"/>
          <w:lang w:val="en-US" w:eastAsia="zh-CN"/>
        </w:rPr>
        <w:t>88.97</w:t>
      </w:r>
      <w:r>
        <w:rPr>
          <w:rFonts w:hint="default" w:ascii="Times New Roman" w:eastAsia="仿宋_GB2312"/>
          <w:szCs w:val="32"/>
          <w:lang w:eastAsia="zh-CN"/>
        </w:rPr>
        <w:t>％，同比减少</w:t>
      </w:r>
      <w:r>
        <w:rPr>
          <w:rFonts w:hint="eastAsia"/>
          <w:szCs w:val="32"/>
          <w:lang w:val="en-US" w:eastAsia="zh-CN"/>
        </w:rPr>
        <w:t>13.26</w:t>
      </w:r>
      <w:r>
        <w:rPr>
          <w:rFonts w:hint="default" w:ascii="Times New Roman" w:eastAsia="仿宋_GB2312"/>
          <w:szCs w:val="32"/>
          <w:lang w:eastAsia="zh-CN"/>
        </w:rPr>
        <w:t>万元，下降</w:t>
      </w:r>
      <w:r>
        <w:rPr>
          <w:rFonts w:hint="eastAsia"/>
          <w:szCs w:val="32"/>
          <w:lang w:val="en-US" w:eastAsia="zh-CN"/>
        </w:rPr>
        <w:t>1.27</w:t>
      </w:r>
      <w:r>
        <w:rPr>
          <w:rFonts w:hint="default" w:ascii="Times New Roman" w:eastAsia="仿宋_GB2312"/>
          <w:szCs w:val="32"/>
          <w:lang w:eastAsia="zh-CN"/>
        </w:rPr>
        <w:t>％，</w:t>
      </w:r>
      <w:r>
        <w:rPr>
          <w:rFonts w:hint="eastAsia"/>
          <w:sz w:val="32"/>
          <w:szCs w:val="32"/>
          <w:lang w:val="en-US" w:eastAsia="zh-CN"/>
        </w:rPr>
        <w:t>主要原因是落实财政过紧日子要求，压减项目经费预算</w:t>
      </w:r>
      <w:r>
        <w:rPr>
          <w:rFonts w:hint="default" w:ascii="Times New Roman"/>
          <w:sz w:val="32"/>
          <w:szCs w:val="32"/>
          <w:lang w:val="en-US" w:eastAsia="zh-CN"/>
        </w:rPr>
        <w:t>。</w:t>
      </w:r>
    </w:p>
    <w:p w14:paraId="4E685AFC">
      <w:pPr>
        <w:tabs>
          <w:tab w:val="center" w:pos="4475"/>
        </w:tabs>
        <w:spacing w:line="560" w:lineRule="exact"/>
        <w:ind w:firstLine="645"/>
        <w:rPr>
          <w:rFonts w:hint="default" w:ascii="Times New Roman" w:eastAsia="仿宋_GB2312"/>
          <w:szCs w:val="32"/>
          <w:lang w:eastAsia="zh-CN"/>
        </w:rPr>
      </w:pPr>
      <w:r>
        <w:rPr>
          <w:rFonts w:hint="default" w:ascii="Times New Roman" w:eastAsia="仿宋_GB2312"/>
          <w:szCs w:val="32"/>
          <w:lang w:eastAsia="zh-CN"/>
        </w:rPr>
        <w:t>3.住房保障支出类科目支出42.68万元，占本年支出</w:t>
      </w:r>
      <w:r>
        <w:rPr>
          <w:rFonts w:hint="eastAsia"/>
          <w:szCs w:val="32"/>
          <w:lang w:eastAsia="zh-CN"/>
        </w:rPr>
        <w:t>3</w:t>
      </w:r>
      <w:r>
        <w:rPr>
          <w:rFonts w:hint="eastAsia"/>
          <w:szCs w:val="32"/>
          <w:lang w:val="en-US" w:eastAsia="zh-CN"/>
        </w:rPr>
        <w:t>.7</w:t>
      </w:r>
      <w:r>
        <w:rPr>
          <w:rFonts w:hint="default" w:ascii="Times New Roman" w:eastAsia="仿宋_GB2312"/>
          <w:szCs w:val="32"/>
          <w:lang w:eastAsia="zh-CN"/>
        </w:rPr>
        <w:t>％，同比增加</w:t>
      </w:r>
      <w:r>
        <w:rPr>
          <w:rFonts w:hint="eastAsia"/>
          <w:szCs w:val="32"/>
          <w:lang w:val="en-US" w:eastAsia="zh-CN"/>
        </w:rPr>
        <w:t>3.3</w:t>
      </w:r>
      <w:r>
        <w:rPr>
          <w:rFonts w:hint="default" w:ascii="Times New Roman" w:eastAsia="仿宋_GB2312"/>
          <w:szCs w:val="32"/>
          <w:lang w:eastAsia="zh-CN"/>
        </w:rPr>
        <w:t>万元，增长</w:t>
      </w:r>
      <w:r>
        <w:rPr>
          <w:rFonts w:hint="eastAsia"/>
          <w:szCs w:val="32"/>
          <w:lang w:val="en-US" w:eastAsia="zh-CN"/>
        </w:rPr>
        <w:t>8.38</w:t>
      </w:r>
      <w:r>
        <w:rPr>
          <w:rFonts w:hint="default" w:ascii="Times New Roman" w:eastAsia="仿宋_GB2312"/>
          <w:szCs w:val="32"/>
          <w:lang w:eastAsia="zh-CN"/>
        </w:rPr>
        <w:t>％，主要原因是</w:t>
      </w:r>
      <w:r>
        <w:rPr>
          <w:rFonts w:hint="eastAsia"/>
          <w:szCs w:val="32"/>
          <w:lang w:eastAsia="zh-CN"/>
        </w:rPr>
        <w:t>在职人员</w:t>
      </w:r>
      <w:r>
        <w:rPr>
          <w:rFonts w:hint="default" w:ascii="Times New Roman" w:eastAsia="仿宋_GB2312"/>
          <w:szCs w:val="32"/>
          <w:lang w:eastAsia="zh-CN"/>
        </w:rPr>
        <w:t>增资按规定调整住房公积金</w:t>
      </w:r>
      <w:r>
        <w:rPr>
          <w:rFonts w:hint="eastAsia"/>
          <w:szCs w:val="32"/>
          <w:lang w:eastAsia="zh-CN"/>
        </w:rPr>
        <w:t>的</w:t>
      </w:r>
      <w:r>
        <w:rPr>
          <w:rFonts w:hint="default" w:ascii="Times New Roman" w:eastAsia="仿宋_GB2312"/>
          <w:szCs w:val="32"/>
          <w:lang w:eastAsia="zh-CN"/>
        </w:rPr>
        <w:t>缴费基数。</w:t>
      </w:r>
    </w:p>
    <w:p w14:paraId="437C1123">
      <w:pPr>
        <w:tabs>
          <w:tab w:val="center" w:pos="4475"/>
        </w:tabs>
        <w:spacing w:line="560" w:lineRule="exact"/>
        <w:ind w:firstLine="645"/>
        <w:rPr>
          <w:rFonts w:hint="default" w:ascii="Times New Roman" w:eastAsia="仿宋_GB2312"/>
          <w:szCs w:val="32"/>
          <w:lang w:eastAsia="zh-CN"/>
        </w:rPr>
      </w:pPr>
      <w:r>
        <w:rPr>
          <w:rFonts w:hint="default" w:ascii="Times New Roman" w:eastAsia="仿宋_GB2312"/>
          <w:szCs w:val="32"/>
          <w:lang w:eastAsia="zh-CN"/>
        </w:rPr>
        <w:t>（二）按支出结构分类划分，分为基本支出和项目支出。</w:t>
      </w:r>
    </w:p>
    <w:p w14:paraId="727BD196">
      <w:pPr>
        <w:tabs>
          <w:tab w:val="center" w:pos="4475"/>
        </w:tabs>
        <w:spacing w:line="560" w:lineRule="exact"/>
        <w:ind w:firstLine="645"/>
        <w:rPr>
          <w:rFonts w:hint="default" w:ascii="Times New Roman" w:eastAsia="仿宋_GB2312"/>
          <w:szCs w:val="32"/>
          <w:lang w:eastAsia="zh-CN"/>
        </w:rPr>
      </w:pPr>
      <w:r>
        <w:rPr>
          <w:rFonts w:hint="default" w:ascii="Times New Roman" w:eastAsia="仿宋_GB2312"/>
          <w:szCs w:val="32"/>
          <w:lang w:eastAsia="zh-CN"/>
        </w:rPr>
        <w:t>1.基本支出。</w:t>
      </w:r>
    </w:p>
    <w:p w14:paraId="728FC0BC">
      <w:pPr>
        <w:tabs>
          <w:tab w:val="center" w:pos="4475"/>
        </w:tabs>
        <w:spacing w:line="560" w:lineRule="exact"/>
        <w:ind w:firstLine="645"/>
        <w:rPr>
          <w:rFonts w:hint="eastAsia"/>
          <w:szCs w:val="32"/>
          <w:lang w:eastAsia="zh-CN"/>
        </w:rPr>
      </w:pPr>
      <w:r>
        <w:rPr>
          <w:rFonts w:hint="default" w:ascii="Times New Roman" w:eastAsia="仿宋_GB2312"/>
          <w:szCs w:val="32"/>
          <w:lang w:eastAsia="zh-CN"/>
        </w:rPr>
        <w:t>基本支出552.89万元，占本年支出</w:t>
      </w:r>
      <w:r>
        <w:rPr>
          <w:rFonts w:hint="eastAsia"/>
          <w:szCs w:val="32"/>
          <w:lang w:val="en-US" w:eastAsia="zh-CN"/>
        </w:rPr>
        <w:t>47.89</w:t>
      </w:r>
      <w:r>
        <w:rPr>
          <w:rFonts w:hint="default" w:ascii="Times New Roman" w:eastAsia="仿宋_GB2312"/>
          <w:szCs w:val="32"/>
          <w:lang w:eastAsia="zh-CN"/>
        </w:rPr>
        <w:t>％，</w:t>
      </w:r>
      <w:r>
        <w:rPr>
          <w:rFonts w:ascii="Times New Roman" w:hAnsi="Times New Roman" w:eastAsia="仿宋_GB2312" w:cs="Times New Roman"/>
          <w:i w:val="0"/>
          <w:iCs w:val="0"/>
          <w:caps w:val="0"/>
          <w:spacing w:val="0"/>
          <w:sz w:val="32"/>
          <w:szCs w:val="32"/>
          <w:shd w:val="clear" w:color="auto" w:fill="auto"/>
        </w:rPr>
        <w:t>较上年</w:t>
      </w:r>
      <w:r>
        <w:rPr>
          <w:rFonts w:hint="default" w:ascii="Times New Roman" w:eastAsia="仿宋_GB2312"/>
          <w:szCs w:val="32"/>
          <w:lang w:eastAsia="zh-CN"/>
        </w:rPr>
        <w:t>同比</w:t>
      </w:r>
      <w:r>
        <w:rPr>
          <w:rFonts w:hint="eastAsia"/>
          <w:szCs w:val="32"/>
          <w:lang w:eastAsia="zh-CN"/>
        </w:rPr>
        <w:t>增加</w:t>
      </w:r>
      <w:r>
        <w:rPr>
          <w:rFonts w:hint="eastAsia"/>
          <w:szCs w:val="32"/>
          <w:lang w:val="en-US" w:eastAsia="zh-CN"/>
        </w:rPr>
        <w:t>31.32</w:t>
      </w:r>
      <w:r>
        <w:rPr>
          <w:rFonts w:hint="default" w:ascii="Times New Roman" w:eastAsia="仿宋_GB2312"/>
          <w:szCs w:val="32"/>
          <w:lang w:eastAsia="zh-CN"/>
        </w:rPr>
        <w:t>万元，</w:t>
      </w:r>
      <w:r>
        <w:rPr>
          <w:rFonts w:hint="eastAsia"/>
          <w:szCs w:val="32"/>
          <w:lang w:eastAsia="zh-CN"/>
        </w:rPr>
        <w:t>增长</w:t>
      </w:r>
      <w:r>
        <w:rPr>
          <w:rFonts w:hint="eastAsia"/>
          <w:szCs w:val="32"/>
          <w:lang w:val="en-US" w:eastAsia="zh-CN"/>
        </w:rPr>
        <w:t>6</w:t>
      </w:r>
      <w:r>
        <w:rPr>
          <w:rFonts w:hint="default" w:ascii="Times New Roman" w:eastAsia="仿宋_GB2312"/>
          <w:szCs w:val="32"/>
          <w:lang w:eastAsia="zh-CN"/>
        </w:rPr>
        <w:t>％。</w:t>
      </w:r>
      <w:r>
        <w:rPr>
          <w:rFonts w:hint="eastAsia"/>
          <w:szCs w:val="32"/>
          <w:lang w:eastAsia="zh-CN"/>
        </w:rPr>
        <w:t>其中：</w:t>
      </w:r>
    </w:p>
    <w:p w14:paraId="4A58AE20">
      <w:pPr>
        <w:tabs>
          <w:tab w:val="center" w:pos="4475"/>
        </w:tabs>
        <w:spacing w:line="560" w:lineRule="exact"/>
        <w:ind w:firstLine="645"/>
        <w:rPr>
          <w:rFonts w:hint="default" w:ascii="Times New Roman" w:eastAsia="仿宋_GB2312"/>
          <w:szCs w:val="32"/>
          <w:lang w:eastAsia="zh-CN"/>
        </w:rPr>
      </w:pPr>
      <w:r>
        <w:rPr>
          <w:rFonts w:ascii="Times New Roman" w:hAnsi="Times New Roman" w:eastAsia="仿宋_GB2312" w:cs="Times New Roman"/>
          <w:i w:val="0"/>
          <w:iCs w:val="0"/>
          <w:caps w:val="0"/>
          <w:color w:val="000000"/>
          <w:spacing w:val="0"/>
          <w:sz w:val="32"/>
          <w:szCs w:val="32"/>
          <w:shd w:val="clear" w:color="auto" w:fill="auto"/>
        </w:rPr>
        <w:t>（1）人员经费</w:t>
      </w:r>
      <w:r>
        <w:rPr>
          <w:rFonts w:hint="eastAsia" w:ascii="Times New Roman" w:hAnsi="Times New Roman" w:eastAsia="仿宋_GB2312" w:cs="Times New Roman"/>
          <w:i w:val="0"/>
          <w:iCs w:val="0"/>
          <w:caps w:val="0"/>
          <w:spacing w:val="0"/>
          <w:sz w:val="32"/>
          <w:szCs w:val="32"/>
          <w:shd w:val="clear" w:color="auto" w:fill="auto"/>
        </w:rPr>
        <w:t>484.59</w:t>
      </w:r>
      <w:r>
        <w:rPr>
          <w:rFonts w:ascii="Times New Roman" w:hAnsi="Times New Roman" w:eastAsia="仿宋_GB2312" w:cs="Times New Roman"/>
          <w:i w:val="0"/>
          <w:iCs w:val="0"/>
          <w:caps w:val="0"/>
          <w:color w:val="000000"/>
          <w:spacing w:val="0"/>
          <w:sz w:val="32"/>
          <w:szCs w:val="32"/>
          <w:shd w:val="clear" w:color="auto" w:fill="auto"/>
        </w:rPr>
        <w:t>万元，较上年同比增加</w:t>
      </w:r>
      <w:r>
        <w:rPr>
          <w:rFonts w:hint="eastAsia" w:cs="Times New Roman"/>
          <w:i w:val="0"/>
          <w:iCs w:val="0"/>
          <w:caps w:val="0"/>
          <w:spacing w:val="0"/>
          <w:sz w:val="32"/>
          <w:szCs w:val="32"/>
          <w:shd w:val="clear" w:color="auto" w:fill="auto"/>
          <w:lang w:val="en-US" w:eastAsia="zh-CN"/>
        </w:rPr>
        <w:t>32.23</w:t>
      </w:r>
      <w:r>
        <w:rPr>
          <w:rFonts w:ascii="Times New Roman" w:hAnsi="Times New Roman" w:eastAsia="仿宋_GB2312" w:cs="Times New Roman"/>
          <w:i w:val="0"/>
          <w:iCs w:val="0"/>
          <w:caps w:val="0"/>
          <w:color w:val="000000"/>
          <w:spacing w:val="0"/>
          <w:sz w:val="32"/>
          <w:szCs w:val="32"/>
          <w:shd w:val="clear" w:color="auto" w:fill="auto"/>
        </w:rPr>
        <w:t>万元，增长</w:t>
      </w:r>
      <w:r>
        <w:rPr>
          <w:rFonts w:hint="eastAsia" w:cs="Times New Roman"/>
          <w:i w:val="0"/>
          <w:iCs w:val="0"/>
          <w:caps w:val="0"/>
          <w:spacing w:val="0"/>
          <w:sz w:val="32"/>
          <w:szCs w:val="32"/>
          <w:shd w:val="clear" w:color="auto" w:fill="auto"/>
          <w:lang w:val="en-US" w:eastAsia="zh-CN"/>
        </w:rPr>
        <w:t>7.2</w:t>
      </w:r>
      <w:r>
        <w:rPr>
          <w:rFonts w:ascii="Times New Roman" w:hAnsi="Times New Roman" w:eastAsia="仿宋_GB2312" w:cs="Times New Roman"/>
          <w:i w:val="0"/>
          <w:iCs w:val="0"/>
          <w:caps w:val="0"/>
          <w:color w:val="000000"/>
          <w:spacing w:val="0"/>
          <w:sz w:val="32"/>
          <w:szCs w:val="32"/>
          <w:shd w:val="clear" w:color="auto" w:fill="auto"/>
        </w:rPr>
        <w:t>％，占基本支出87.</w:t>
      </w:r>
      <w:r>
        <w:rPr>
          <w:rFonts w:hint="eastAsia" w:cs="Times New Roman"/>
          <w:i w:val="0"/>
          <w:iCs w:val="0"/>
          <w:caps w:val="0"/>
          <w:spacing w:val="0"/>
          <w:sz w:val="32"/>
          <w:szCs w:val="32"/>
          <w:shd w:val="clear" w:color="auto" w:fill="auto"/>
          <w:lang w:val="en-US" w:eastAsia="zh-CN"/>
        </w:rPr>
        <w:t>65</w:t>
      </w:r>
      <w:r>
        <w:rPr>
          <w:rFonts w:ascii="Times New Roman" w:hAnsi="Times New Roman" w:eastAsia="仿宋_GB2312" w:cs="Times New Roman"/>
          <w:i w:val="0"/>
          <w:iCs w:val="0"/>
          <w:caps w:val="0"/>
          <w:color w:val="000000"/>
          <w:spacing w:val="0"/>
          <w:sz w:val="32"/>
          <w:szCs w:val="32"/>
          <w:shd w:val="clear" w:color="auto" w:fill="auto"/>
        </w:rPr>
        <w:t>％。</w:t>
      </w:r>
      <w:r>
        <w:rPr>
          <w:rFonts w:hint="default" w:ascii="Times New Roman" w:eastAsia="仿宋_GB2312"/>
          <w:szCs w:val="32"/>
          <w:lang w:eastAsia="zh-CN"/>
        </w:rPr>
        <w:t>其中：工资福利支出479.98万元，</w:t>
      </w:r>
      <w:r>
        <w:rPr>
          <w:rFonts w:ascii="Times New Roman" w:hAnsi="Times New Roman" w:eastAsia="仿宋_GB2312" w:cs="Times New Roman"/>
          <w:i w:val="0"/>
          <w:iCs w:val="0"/>
          <w:caps w:val="0"/>
          <w:spacing w:val="0"/>
          <w:sz w:val="32"/>
          <w:szCs w:val="32"/>
          <w:shd w:val="clear" w:color="auto" w:fill="auto"/>
        </w:rPr>
        <w:t>较上年</w:t>
      </w:r>
      <w:r>
        <w:rPr>
          <w:rFonts w:hint="default" w:ascii="Times New Roman" w:eastAsia="仿宋_GB2312"/>
          <w:szCs w:val="32"/>
          <w:lang w:eastAsia="zh-CN"/>
        </w:rPr>
        <w:t>同比</w:t>
      </w:r>
      <w:r>
        <w:rPr>
          <w:rFonts w:hint="eastAsia"/>
          <w:szCs w:val="32"/>
          <w:lang w:eastAsia="zh-CN"/>
        </w:rPr>
        <w:t>增加</w:t>
      </w:r>
      <w:r>
        <w:rPr>
          <w:rFonts w:hint="eastAsia"/>
          <w:szCs w:val="32"/>
          <w:lang w:val="en-US" w:eastAsia="zh-CN"/>
        </w:rPr>
        <w:t>32.23</w:t>
      </w:r>
      <w:r>
        <w:rPr>
          <w:rFonts w:hint="default" w:ascii="Times New Roman" w:eastAsia="仿宋_GB2312"/>
          <w:szCs w:val="32"/>
          <w:lang w:eastAsia="zh-CN"/>
        </w:rPr>
        <w:t>万元，</w:t>
      </w:r>
      <w:r>
        <w:rPr>
          <w:rFonts w:hint="eastAsia"/>
          <w:szCs w:val="32"/>
          <w:lang w:eastAsia="zh-CN"/>
        </w:rPr>
        <w:t>增长</w:t>
      </w:r>
      <w:r>
        <w:rPr>
          <w:rFonts w:hint="eastAsia"/>
          <w:szCs w:val="32"/>
          <w:lang w:val="en-US" w:eastAsia="zh-CN"/>
        </w:rPr>
        <w:t>7.2</w:t>
      </w:r>
      <w:r>
        <w:rPr>
          <w:rFonts w:hint="default" w:ascii="Times New Roman" w:eastAsia="仿宋_GB2312"/>
          <w:szCs w:val="32"/>
          <w:lang w:eastAsia="zh-CN"/>
        </w:rPr>
        <w:t>％</w:t>
      </w:r>
      <w:r>
        <w:rPr>
          <w:rFonts w:hint="eastAsia"/>
          <w:szCs w:val="32"/>
          <w:lang w:eastAsia="zh-CN"/>
        </w:rPr>
        <w:t>，</w:t>
      </w:r>
      <w:r>
        <w:rPr>
          <w:rFonts w:hint="default" w:ascii="Times New Roman" w:eastAsia="仿宋_GB2312"/>
          <w:szCs w:val="32"/>
          <w:lang w:eastAsia="zh-CN"/>
        </w:rPr>
        <w:t>占</w:t>
      </w:r>
      <w:r>
        <w:rPr>
          <w:rFonts w:hint="eastAsia"/>
          <w:szCs w:val="32"/>
          <w:lang w:eastAsia="zh-CN"/>
        </w:rPr>
        <w:t>人员经费</w:t>
      </w:r>
      <w:r>
        <w:rPr>
          <w:rFonts w:hint="eastAsia"/>
          <w:szCs w:val="32"/>
          <w:lang w:val="en-US" w:eastAsia="zh-CN"/>
        </w:rPr>
        <w:t>99.05</w:t>
      </w:r>
      <w:r>
        <w:rPr>
          <w:rFonts w:hint="default" w:ascii="Times New Roman" w:eastAsia="仿宋_GB2312"/>
          <w:szCs w:val="32"/>
          <w:lang w:eastAsia="zh-CN"/>
        </w:rPr>
        <w:t>％；对个人和家庭的补助4.61万元，</w:t>
      </w:r>
      <w:r>
        <w:rPr>
          <w:rFonts w:hint="eastAsia"/>
          <w:szCs w:val="32"/>
          <w:lang w:eastAsia="zh-CN"/>
        </w:rPr>
        <w:t>与上年持平，</w:t>
      </w:r>
      <w:r>
        <w:rPr>
          <w:rFonts w:hint="default" w:ascii="Times New Roman" w:eastAsia="仿宋_GB2312"/>
          <w:szCs w:val="32"/>
          <w:lang w:eastAsia="zh-CN"/>
        </w:rPr>
        <w:t>占</w:t>
      </w:r>
      <w:r>
        <w:rPr>
          <w:rFonts w:hint="eastAsia"/>
          <w:szCs w:val="32"/>
          <w:lang w:eastAsia="zh-CN"/>
        </w:rPr>
        <w:t>人员经</w:t>
      </w:r>
      <w:r>
        <w:rPr>
          <w:rFonts w:hint="eastAsia" w:ascii="Times New Roman" w:eastAsia="仿宋_GB2312"/>
          <w:szCs w:val="32"/>
          <w:lang w:eastAsia="zh-CN"/>
        </w:rPr>
        <w:t>费</w:t>
      </w:r>
      <w:r>
        <w:rPr>
          <w:rFonts w:hint="eastAsia" w:ascii="Times New Roman" w:eastAsia="仿宋_GB2312"/>
          <w:szCs w:val="32"/>
          <w:lang w:val="en-US" w:eastAsia="zh-CN"/>
        </w:rPr>
        <w:t>0.95</w:t>
      </w:r>
      <w:r>
        <w:rPr>
          <w:rFonts w:hint="default" w:ascii="Times New Roman" w:eastAsia="仿宋_GB2312"/>
          <w:szCs w:val="32"/>
          <w:lang w:eastAsia="zh-CN"/>
        </w:rPr>
        <w:t>％。</w:t>
      </w:r>
    </w:p>
    <w:p w14:paraId="795ECB31">
      <w:pPr>
        <w:tabs>
          <w:tab w:val="center" w:pos="4475"/>
        </w:tabs>
        <w:spacing w:line="560" w:lineRule="exact"/>
        <w:ind w:firstLine="645"/>
        <w:rPr>
          <w:rFonts w:hint="default" w:ascii="Times New Roman" w:eastAsia="仿宋_GB2312"/>
          <w:szCs w:val="32"/>
          <w:lang w:eastAsia="zh-CN"/>
        </w:rPr>
      </w:pPr>
      <w:r>
        <w:rPr>
          <w:rFonts w:hint="default" w:ascii="Times New Roman" w:eastAsia="仿宋_GB2312"/>
          <w:szCs w:val="32"/>
          <w:lang w:eastAsia="zh-CN"/>
        </w:rPr>
        <w:t>（2）公用经费（商品和服务支出）</w:t>
      </w:r>
      <w:r>
        <w:rPr>
          <w:rFonts w:hint="eastAsia" w:ascii="Times New Roman" w:eastAsia="仿宋_GB2312"/>
          <w:szCs w:val="32"/>
          <w:lang w:eastAsia="zh-CN"/>
        </w:rPr>
        <w:t>68.30</w:t>
      </w:r>
      <w:r>
        <w:rPr>
          <w:rFonts w:hint="default" w:ascii="Times New Roman" w:eastAsia="仿宋_GB2312"/>
          <w:szCs w:val="32"/>
          <w:lang w:eastAsia="zh-CN"/>
        </w:rPr>
        <w:t>万元，较上年同比</w:t>
      </w:r>
      <w:r>
        <w:rPr>
          <w:rFonts w:hint="eastAsia" w:ascii="Times New Roman" w:eastAsia="仿宋_GB2312"/>
          <w:szCs w:val="32"/>
          <w:lang w:eastAsia="zh-CN"/>
        </w:rPr>
        <w:t>减少</w:t>
      </w:r>
      <w:r>
        <w:rPr>
          <w:rFonts w:hint="eastAsia" w:ascii="Times New Roman" w:eastAsia="仿宋_GB2312"/>
          <w:szCs w:val="32"/>
          <w:lang w:val="en-US" w:eastAsia="zh-CN"/>
        </w:rPr>
        <w:t>0.9</w:t>
      </w:r>
      <w:r>
        <w:rPr>
          <w:rFonts w:hint="default" w:ascii="Times New Roman" w:eastAsia="仿宋_GB2312"/>
          <w:szCs w:val="32"/>
          <w:lang w:eastAsia="zh-CN"/>
        </w:rPr>
        <w:t>万元，</w:t>
      </w:r>
      <w:r>
        <w:rPr>
          <w:rFonts w:hint="eastAsia" w:ascii="Times New Roman" w:eastAsia="仿宋_GB2312"/>
          <w:szCs w:val="32"/>
          <w:lang w:eastAsia="zh-CN"/>
        </w:rPr>
        <w:t>下降</w:t>
      </w:r>
      <w:r>
        <w:rPr>
          <w:rFonts w:hint="eastAsia" w:ascii="Times New Roman" w:eastAsia="仿宋_GB2312"/>
          <w:szCs w:val="32"/>
          <w:lang w:val="en-US" w:eastAsia="zh-CN"/>
        </w:rPr>
        <w:t>1.3</w:t>
      </w:r>
      <w:r>
        <w:rPr>
          <w:rFonts w:hint="default" w:ascii="Times New Roman" w:eastAsia="仿宋_GB2312"/>
          <w:szCs w:val="32"/>
          <w:lang w:eastAsia="zh-CN"/>
        </w:rPr>
        <w:t>％，占基本支出预算12.</w:t>
      </w:r>
      <w:r>
        <w:rPr>
          <w:rFonts w:hint="eastAsia" w:ascii="Times New Roman" w:eastAsia="仿宋_GB2312"/>
          <w:szCs w:val="32"/>
          <w:lang w:val="en-US" w:eastAsia="zh-CN"/>
        </w:rPr>
        <w:t>35</w:t>
      </w:r>
      <w:r>
        <w:rPr>
          <w:rFonts w:hint="default" w:ascii="Times New Roman" w:eastAsia="仿宋_GB2312"/>
          <w:szCs w:val="32"/>
          <w:lang w:eastAsia="zh-CN"/>
        </w:rPr>
        <w:t>％。</w:t>
      </w:r>
    </w:p>
    <w:p w14:paraId="7456E6CF">
      <w:pPr>
        <w:tabs>
          <w:tab w:val="center" w:pos="4475"/>
        </w:tabs>
        <w:spacing w:line="560" w:lineRule="exact"/>
        <w:ind w:firstLine="645"/>
        <w:rPr>
          <w:rFonts w:hint="default" w:ascii="Times New Roman" w:eastAsia="仿宋_GB2312"/>
          <w:szCs w:val="32"/>
          <w:lang w:eastAsia="zh-CN"/>
        </w:rPr>
      </w:pPr>
      <w:r>
        <w:rPr>
          <w:rFonts w:hint="default" w:ascii="Times New Roman" w:eastAsia="仿宋_GB2312"/>
          <w:szCs w:val="32"/>
          <w:lang w:eastAsia="zh-CN"/>
        </w:rPr>
        <w:t>2.项目支出。</w:t>
      </w:r>
    </w:p>
    <w:p w14:paraId="4410576C">
      <w:pPr>
        <w:tabs>
          <w:tab w:val="center" w:pos="4475"/>
        </w:tabs>
        <w:spacing w:line="560" w:lineRule="exact"/>
        <w:ind w:firstLine="645"/>
        <w:rPr>
          <w:rFonts w:hint="default" w:ascii="Times New Roman"/>
          <w:sz w:val="32"/>
          <w:szCs w:val="32"/>
          <w:lang w:val="en-US" w:eastAsia="zh-CN"/>
        </w:rPr>
      </w:pPr>
      <w:r>
        <w:rPr>
          <w:rFonts w:hint="default" w:ascii="Times New Roman" w:eastAsia="仿宋_GB2312"/>
          <w:szCs w:val="32"/>
          <w:lang w:eastAsia="zh-CN"/>
        </w:rPr>
        <w:t>项目支出601.70万元，占本年支出</w:t>
      </w:r>
      <w:r>
        <w:rPr>
          <w:rFonts w:hint="eastAsia"/>
          <w:szCs w:val="32"/>
          <w:lang w:val="en-US" w:eastAsia="zh-CN"/>
        </w:rPr>
        <w:t>52.11</w:t>
      </w:r>
      <w:r>
        <w:rPr>
          <w:rFonts w:hint="default" w:ascii="Times New Roman" w:eastAsia="仿宋_GB2312"/>
          <w:szCs w:val="32"/>
          <w:lang w:eastAsia="zh-CN"/>
        </w:rPr>
        <w:t>％，</w:t>
      </w:r>
      <w:r>
        <w:rPr>
          <w:rFonts w:hint="default" w:ascii="Times New Roman" w:hAnsi="Times New Roman" w:eastAsia="仿宋_GB2312" w:cs="Times New Roman"/>
          <w:i w:val="0"/>
          <w:iCs w:val="0"/>
          <w:caps w:val="0"/>
          <w:spacing w:val="0"/>
          <w:sz w:val="32"/>
          <w:szCs w:val="32"/>
          <w:shd w:val="clear" w:color="auto" w:fill="auto"/>
        </w:rPr>
        <w:t>较上年</w:t>
      </w:r>
      <w:r>
        <w:rPr>
          <w:rFonts w:hint="default" w:ascii="Times New Roman" w:eastAsia="仿宋_GB2312"/>
          <w:szCs w:val="32"/>
          <w:lang w:eastAsia="zh-CN"/>
        </w:rPr>
        <w:t>同比减少</w:t>
      </w:r>
      <w:r>
        <w:rPr>
          <w:rFonts w:hint="eastAsia"/>
          <w:szCs w:val="32"/>
          <w:lang w:val="en-US" w:eastAsia="zh-CN"/>
        </w:rPr>
        <w:t>21.34</w:t>
      </w:r>
      <w:r>
        <w:rPr>
          <w:rFonts w:hint="default" w:ascii="Times New Roman" w:eastAsia="仿宋_GB2312"/>
          <w:szCs w:val="32"/>
          <w:lang w:eastAsia="zh-CN"/>
        </w:rPr>
        <w:t>万元，下降</w:t>
      </w:r>
      <w:r>
        <w:rPr>
          <w:rFonts w:hint="eastAsia"/>
          <w:szCs w:val="32"/>
          <w:lang w:val="en-US" w:eastAsia="zh-CN"/>
        </w:rPr>
        <w:t>3.43</w:t>
      </w:r>
      <w:r>
        <w:rPr>
          <w:rFonts w:hint="default" w:ascii="Times New Roman" w:eastAsia="仿宋_GB2312"/>
          <w:szCs w:val="32"/>
          <w:lang w:eastAsia="zh-CN"/>
        </w:rPr>
        <w:t>％。</w:t>
      </w:r>
      <w:r>
        <w:rPr>
          <w:rFonts w:hint="eastAsia"/>
          <w:sz w:val="32"/>
          <w:szCs w:val="32"/>
          <w:lang w:val="en-US" w:eastAsia="zh-CN"/>
        </w:rPr>
        <w:t>主要原因是落实财政过紧日子要求，压减项目经费预算</w:t>
      </w:r>
      <w:r>
        <w:rPr>
          <w:rFonts w:hint="default" w:ascii="Times New Roman"/>
          <w:sz w:val="32"/>
          <w:szCs w:val="32"/>
          <w:lang w:val="en-US" w:eastAsia="zh-CN"/>
        </w:rPr>
        <w:t>。</w:t>
      </w:r>
    </w:p>
    <w:p w14:paraId="054FC7C4">
      <w:pPr>
        <w:tabs>
          <w:tab w:val="center" w:pos="4475"/>
        </w:tabs>
        <w:spacing w:line="560" w:lineRule="exact"/>
        <w:ind w:firstLine="645"/>
        <w:rPr>
          <w:rFonts w:hint="default" w:ascii="Times New Roman" w:eastAsia="黑体"/>
          <w:szCs w:val="32"/>
          <w:highlight w:val="none"/>
        </w:rPr>
      </w:pPr>
      <w:r>
        <w:rPr>
          <w:rFonts w:hint="default" w:ascii="Times New Roman" w:eastAsia="黑体"/>
          <w:szCs w:val="32"/>
          <w:highlight w:val="none"/>
          <w:lang w:eastAsia="zh-CN"/>
        </w:rPr>
        <w:t>四</w:t>
      </w:r>
      <w:r>
        <w:rPr>
          <w:rFonts w:hint="default" w:ascii="Times New Roman" w:eastAsia="黑体"/>
          <w:szCs w:val="32"/>
          <w:highlight w:val="none"/>
        </w:rPr>
        <w:t>、政府性基金预算支出情况说明</w:t>
      </w:r>
    </w:p>
    <w:p w14:paraId="4F994263">
      <w:pPr>
        <w:tabs>
          <w:tab w:val="center" w:pos="4475"/>
        </w:tabs>
        <w:spacing w:line="560" w:lineRule="exact"/>
        <w:ind w:firstLine="645"/>
        <w:rPr>
          <w:rFonts w:hint="eastAsia" w:ascii="Times New Roman" w:hAnsi="Times New Roman"/>
          <w:szCs w:val="32"/>
          <w:highlight w:val="none"/>
          <w:u w:val="none"/>
        </w:rPr>
      </w:pPr>
      <w:r>
        <w:rPr>
          <w:rFonts w:hint="eastAsia" w:ascii="Times New Roman" w:hAnsi="Times New Roman"/>
          <w:b w:val="0"/>
          <w:bCs w:val="0"/>
          <w:szCs w:val="32"/>
          <w:highlight w:val="none"/>
          <w:u w:val="none"/>
        </w:rPr>
        <w:t>我</w:t>
      </w:r>
      <w:r>
        <w:rPr>
          <w:rFonts w:hint="eastAsia"/>
          <w:b w:val="0"/>
          <w:bCs w:val="0"/>
          <w:szCs w:val="32"/>
          <w:highlight w:val="none"/>
          <w:u w:val="none"/>
          <w:lang w:eastAsia="zh-CN"/>
        </w:rPr>
        <w:t>单位</w:t>
      </w:r>
      <w:r>
        <w:rPr>
          <w:rFonts w:hint="eastAsia" w:ascii="Times New Roman" w:hAnsi="Times New Roman"/>
          <w:b w:val="0"/>
          <w:bCs w:val="0"/>
          <w:szCs w:val="32"/>
          <w:highlight w:val="none"/>
          <w:u w:val="none"/>
        </w:rPr>
        <w:t>202</w:t>
      </w:r>
      <w:r>
        <w:rPr>
          <w:rFonts w:hint="eastAsia"/>
          <w:b w:val="0"/>
          <w:bCs w:val="0"/>
          <w:szCs w:val="32"/>
          <w:highlight w:val="none"/>
          <w:u w:val="none"/>
          <w:lang w:val="en-US" w:eastAsia="zh-CN"/>
        </w:rPr>
        <w:t>6</w:t>
      </w:r>
      <w:r>
        <w:rPr>
          <w:rFonts w:hint="eastAsia" w:ascii="Times New Roman" w:hAnsi="Times New Roman"/>
          <w:b w:val="0"/>
          <w:bCs w:val="0"/>
          <w:szCs w:val="32"/>
          <w:highlight w:val="none"/>
          <w:u w:val="none"/>
        </w:rPr>
        <w:t>年无政府性基金预算。</w:t>
      </w:r>
    </w:p>
    <w:p w14:paraId="284B45C9">
      <w:pPr>
        <w:tabs>
          <w:tab w:val="center" w:pos="4475"/>
        </w:tabs>
        <w:spacing w:line="560" w:lineRule="exact"/>
        <w:ind w:firstLine="645"/>
        <w:rPr>
          <w:rFonts w:hint="default" w:ascii="Times New Roman" w:eastAsia="黑体"/>
          <w:szCs w:val="32"/>
          <w:highlight w:val="yellow"/>
          <w:lang w:eastAsia="zh-CN"/>
        </w:rPr>
      </w:pPr>
      <w:r>
        <w:rPr>
          <w:rFonts w:hint="default" w:ascii="Times New Roman" w:eastAsia="黑体"/>
          <w:szCs w:val="32"/>
          <w:highlight w:val="none"/>
          <w:lang w:eastAsia="zh-CN"/>
        </w:rPr>
        <w:t>五</w:t>
      </w:r>
      <w:r>
        <w:rPr>
          <w:rFonts w:hint="default" w:ascii="Times New Roman" w:eastAsia="黑体"/>
          <w:szCs w:val="32"/>
          <w:highlight w:val="none"/>
        </w:rPr>
        <w:t>、</w:t>
      </w:r>
      <w:r>
        <w:rPr>
          <w:rFonts w:hint="default" w:ascii="Times New Roman" w:eastAsia="黑体"/>
          <w:szCs w:val="32"/>
          <w:highlight w:val="none"/>
          <w:lang w:eastAsia="zh-CN"/>
        </w:rPr>
        <w:t>国有资本经营</w:t>
      </w:r>
      <w:r>
        <w:rPr>
          <w:rFonts w:hint="default" w:ascii="Times New Roman" w:eastAsia="黑体"/>
          <w:szCs w:val="32"/>
          <w:highlight w:val="none"/>
        </w:rPr>
        <w:t>预算支出情况说明</w:t>
      </w:r>
    </w:p>
    <w:p w14:paraId="76C9F6D2">
      <w:pPr>
        <w:tabs>
          <w:tab w:val="center" w:pos="4475"/>
        </w:tabs>
        <w:spacing w:line="560" w:lineRule="exact"/>
        <w:ind w:firstLine="645"/>
        <w:rPr>
          <w:rFonts w:hint="eastAsia" w:ascii="Times New Roman" w:hAnsi="Times New Roman"/>
          <w:szCs w:val="32"/>
          <w:highlight w:val="none"/>
          <w:u w:val="none"/>
        </w:rPr>
      </w:pPr>
      <w:r>
        <w:rPr>
          <w:rFonts w:hint="eastAsia" w:ascii="Times New Roman" w:hAnsi="Times New Roman"/>
          <w:b w:val="0"/>
          <w:bCs w:val="0"/>
          <w:szCs w:val="32"/>
          <w:highlight w:val="none"/>
          <w:u w:val="none"/>
        </w:rPr>
        <w:t>我</w:t>
      </w:r>
      <w:r>
        <w:rPr>
          <w:rFonts w:hint="eastAsia"/>
          <w:b w:val="0"/>
          <w:bCs w:val="0"/>
          <w:szCs w:val="32"/>
          <w:highlight w:val="none"/>
          <w:u w:val="none"/>
          <w:lang w:eastAsia="zh-CN"/>
        </w:rPr>
        <w:t>单位</w:t>
      </w:r>
      <w:r>
        <w:rPr>
          <w:rFonts w:hint="eastAsia" w:ascii="Times New Roman" w:hAnsi="Times New Roman"/>
          <w:b w:val="0"/>
          <w:bCs w:val="0"/>
          <w:szCs w:val="32"/>
          <w:highlight w:val="none"/>
          <w:u w:val="none"/>
        </w:rPr>
        <w:t>202</w:t>
      </w:r>
      <w:r>
        <w:rPr>
          <w:rFonts w:hint="eastAsia"/>
          <w:b w:val="0"/>
          <w:bCs w:val="0"/>
          <w:szCs w:val="32"/>
          <w:highlight w:val="none"/>
          <w:u w:val="none"/>
          <w:lang w:val="en-US" w:eastAsia="zh-CN"/>
        </w:rPr>
        <w:t>6</w:t>
      </w:r>
      <w:r>
        <w:rPr>
          <w:rFonts w:hint="eastAsia" w:ascii="Times New Roman" w:hAnsi="Times New Roman"/>
          <w:b w:val="0"/>
          <w:bCs w:val="0"/>
          <w:szCs w:val="32"/>
          <w:highlight w:val="none"/>
          <w:u w:val="none"/>
        </w:rPr>
        <w:t>年无</w:t>
      </w:r>
      <w:r>
        <w:rPr>
          <w:rFonts w:hint="eastAsia" w:ascii="Times New Roman" w:hAnsi="Times New Roman"/>
          <w:b w:val="0"/>
          <w:bCs w:val="0"/>
          <w:szCs w:val="32"/>
          <w:highlight w:val="none"/>
          <w:u w:val="none"/>
          <w:lang w:eastAsia="zh-CN"/>
        </w:rPr>
        <w:t>国有资本经营</w:t>
      </w:r>
      <w:r>
        <w:rPr>
          <w:rFonts w:hint="eastAsia" w:ascii="Times New Roman" w:hAnsi="Times New Roman"/>
          <w:b w:val="0"/>
          <w:bCs w:val="0"/>
          <w:szCs w:val="32"/>
          <w:highlight w:val="none"/>
          <w:u w:val="none"/>
        </w:rPr>
        <w:t>预算。</w:t>
      </w:r>
    </w:p>
    <w:p w14:paraId="369C87F0">
      <w:pPr>
        <w:tabs>
          <w:tab w:val="center" w:pos="4475"/>
        </w:tabs>
        <w:spacing w:line="560" w:lineRule="exact"/>
        <w:ind w:firstLine="645"/>
        <w:rPr>
          <w:rFonts w:hint="default" w:ascii="Times New Roman" w:eastAsia="黑体"/>
          <w:szCs w:val="32"/>
        </w:rPr>
      </w:pPr>
      <w:r>
        <w:rPr>
          <w:rFonts w:hint="default" w:ascii="Times New Roman" w:eastAsia="黑体"/>
          <w:szCs w:val="32"/>
          <w:lang w:eastAsia="zh-CN"/>
        </w:rPr>
        <w:t>六</w:t>
      </w:r>
      <w:r>
        <w:rPr>
          <w:rFonts w:hint="default" w:ascii="Times New Roman" w:eastAsia="黑体"/>
          <w:szCs w:val="32"/>
        </w:rPr>
        <w:t>、一般公共预算“三公”经费支出情况说明</w:t>
      </w:r>
    </w:p>
    <w:p w14:paraId="69A09296">
      <w:pPr>
        <w:tabs>
          <w:tab w:val="center" w:pos="4475"/>
        </w:tabs>
        <w:spacing w:line="560" w:lineRule="exact"/>
        <w:ind w:firstLine="645"/>
        <w:rPr>
          <w:rFonts w:hint="default" w:ascii="Times New Roman" w:hAnsi="Times New Roman"/>
          <w:szCs w:val="32"/>
        </w:rPr>
      </w:pPr>
      <w:r>
        <w:rPr>
          <w:rFonts w:hint="default" w:ascii="Times New Roman" w:hAnsi="Times New Roman"/>
          <w:szCs w:val="32"/>
          <w:highlight w:val="none"/>
        </w:rPr>
        <w:t>我</w:t>
      </w:r>
      <w:r>
        <w:rPr>
          <w:rFonts w:hint="eastAsia"/>
          <w:szCs w:val="32"/>
          <w:highlight w:val="none"/>
          <w:lang w:eastAsia="zh-CN"/>
        </w:rPr>
        <w:t>单位</w:t>
      </w:r>
      <w:r>
        <w:rPr>
          <w:rFonts w:hint="default" w:ascii="Times New Roman"/>
        </w:rPr>
        <w:t>202</w:t>
      </w:r>
      <w:r>
        <w:rPr>
          <w:rFonts w:hint="eastAsia"/>
          <w:lang w:val="en-US" w:eastAsia="zh-CN"/>
        </w:rPr>
        <w:t>6</w:t>
      </w:r>
      <w:r>
        <w:rPr>
          <w:rFonts w:hint="default" w:ascii="Times New Roman"/>
        </w:rPr>
        <w:t>年一般公共预算</w:t>
      </w:r>
      <w:r>
        <w:rPr>
          <w:rFonts w:hint="default" w:ascii="Times New Roman"/>
          <w:bCs/>
        </w:rPr>
        <w:t>安排的“三公”经费支出预算</w:t>
      </w:r>
      <w:r>
        <w:rPr>
          <w:rFonts w:hint="eastAsia"/>
          <w:bCs/>
          <w:lang w:val="en-US" w:eastAsia="zh-CN"/>
        </w:rPr>
        <w:t>0.5</w:t>
      </w:r>
      <w:r>
        <w:rPr>
          <w:rFonts w:hint="default" w:ascii="Times New Roman"/>
          <w:bCs/>
        </w:rPr>
        <w:t>万元，</w:t>
      </w:r>
      <w:r>
        <w:rPr>
          <w:rFonts w:hint="eastAsia"/>
          <w:bCs/>
          <w:lang w:eastAsia="zh-CN"/>
        </w:rPr>
        <w:t>与上年基本持平</w:t>
      </w:r>
      <w:r>
        <w:rPr>
          <w:rFonts w:hint="default" w:ascii="Times New Roman"/>
          <w:bCs/>
        </w:rPr>
        <w:t>，具体如下：</w:t>
      </w:r>
    </w:p>
    <w:p w14:paraId="58A4664E">
      <w:pPr>
        <w:numPr>
          <w:ilvl w:val="0"/>
          <w:numId w:val="1"/>
        </w:numPr>
        <w:tabs>
          <w:tab w:val="center" w:pos="4475"/>
        </w:tabs>
        <w:spacing w:line="560" w:lineRule="exact"/>
        <w:ind w:firstLine="645"/>
        <w:rPr>
          <w:rFonts w:hint="default"/>
          <w:b w:val="0"/>
          <w:bCs w:val="0"/>
          <w:szCs w:val="24"/>
          <w:highlight w:val="none"/>
          <w:u w:val="none"/>
          <w:lang w:eastAsia="zh-CN"/>
        </w:rPr>
      </w:pPr>
      <w:r>
        <w:rPr>
          <w:rFonts w:hint="default" w:ascii="Times New Roman"/>
        </w:rPr>
        <w:t>因公出国（境）费</w:t>
      </w:r>
      <w:r>
        <w:rPr>
          <w:rFonts w:hint="default" w:ascii="Times New Roman" w:hAnsi="Times New Roman"/>
          <w:szCs w:val="24"/>
        </w:rPr>
        <w:t>202</w:t>
      </w:r>
      <w:r>
        <w:rPr>
          <w:rFonts w:hint="default"/>
          <w:szCs w:val="24"/>
          <w:lang w:val="en-US" w:eastAsia="zh-CN"/>
        </w:rPr>
        <w:t>6</w:t>
      </w:r>
      <w:r>
        <w:rPr>
          <w:rFonts w:hint="default" w:ascii="Times New Roman" w:hAnsi="Times New Roman"/>
          <w:szCs w:val="24"/>
        </w:rPr>
        <w:t>年预算安排</w:t>
      </w:r>
      <w:r>
        <w:rPr>
          <w:rFonts w:hint="default"/>
          <w:szCs w:val="24"/>
          <w:lang w:val="en-US" w:eastAsia="zh-CN"/>
        </w:rPr>
        <w:t>0</w:t>
      </w:r>
      <w:r>
        <w:rPr>
          <w:rFonts w:hint="default" w:ascii="Times New Roman" w:hAnsi="Times New Roman"/>
          <w:szCs w:val="24"/>
        </w:rPr>
        <w:t>万元，</w:t>
      </w:r>
      <w:r>
        <w:rPr>
          <w:rFonts w:hint="default" w:ascii="Times New Roman" w:hAnsi="Times New Roman"/>
          <w:b w:val="0"/>
          <w:bCs w:val="0"/>
          <w:szCs w:val="24"/>
          <w:highlight w:val="none"/>
          <w:u w:val="none"/>
        </w:rPr>
        <w:t>与上年持平</w:t>
      </w:r>
      <w:r>
        <w:rPr>
          <w:rFonts w:hint="default"/>
          <w:b w:val="0"/>
          <w:bCs w:val="0"/>
          <w:szCs w:val="24"/>
          <w:highlight w:val="none"/>
          <w:u w:val="none"/>
          <w:lang w:eastAsia="zh-CN"/>
        </w:rPr>
        <w:t>。</w:t>
      </w:r>
    </w:p>
    <w:p w14:paraId="7F57F2FC">
      <w:pPr>
        <w:numPr>
          <w:ilvl w:val="0"/>
          <w:numId w:val="0"/>
        </w:numPr>
        <w:tabs>
          <w:tab w:val="center" w:pos="4475"/>
        </w:tabs>
        <w:spacing w:line="560" w:lineRule="exact"/>
        <w:ind w:firstLine="654" w:firstLineChars="200"/>
        <w:rPr>
          <w:rFonts w:hint="default" w:ascii="Times New Roman" w:eastAsia="黑体"/>
          <w:szCs w:val="32"/>
          <w:lang w:eastAsia="zh-CN"/>
        </w:rPr>
      </w:pPr>
      <w:r>
        <w:rPr>
          <w:rFonts w:hint="default" w:ascii="Times New Roman"/>
          <w:lang w:eastAsia="zh-CN"/>
        </w:rPr>
        <w:t>（二）</w:t>
      </w:r>
      <w:r>
        <w:rPr>
          <w:rFonts w:hint="default" w:ascii="Times New Roman"/>
        </w:rPr>
        <w:t>公务用车购置及运行费</w:t>
      </w:r>
      <w:r>
        <w:rPr>
          <w:rFonts w:hint="default" w:ascii="Times New Roman" w:hAnsi="Times New Roman"/>
          <w:szCs w:val="32"/>
        </w:rPr>
        <w:t>202</w:t>
      </w:r>
      <w:r>
        <w:rPr>
          <w:rFonts w:hint="eastAsia"/>
          <w:szCs w:val="32"/>
          <w:lang w:val="en-US" w:eastAsia="zh-CN"/>
        </w:rPr>
        <w:t>6</w:t>
      </w:r>
      <w:r>
        <w:rPr>
          <w:rFonts w:hint="default" w:ascii="Times New Roman" w:hAnsi="Times New Roman"/>
          <w:szCs w:val="32"/>
        </w:rPr>
        <w:t>年预算安排</w:t>
      </w:r>
      <w:r>
        <w:rPr>
          <w:rFonts w:hint="eastAsia"/>
          <w:szCs w:val="32"/>
          <w:lang w:val="en-US" w:eastAsia="zh-CN"/>
        </w:rPr>
        <w:t>0</w:t>
      </w:r>
      <w:r>
        <w:rPr>
          <w:rFonts w:hint="default" w:ascii="Times New Roman" w:hAnsi="Times New Roman"/>
          <w:szCs w:val="32"/>
        </w:rPr>
        <w:t>万元，</w:t>
      </w:r>
      <w:r>
        <w:rPr>
          <w:rFonts w:hint="default" w:ascii="Times New Roman" w:hAnsi="Times New Roman"/>
          <w:b w:val="0"/>
          <w:bCs w:val="0"/>
          <w:szCs w:val="24"/>
          <w:u w:val="none"/>
        </w:rPr>
        <w:t>与上年持平</w:t>
      </w:r>
      <w:r>
        <w:rPr>
          <w:rFonts w:hint="default"/>
          <w:b w:val="0"/>
          <w:bCs w:val="0"/>
          <w:szCs w:val="24"/>
          <w:u w:val="none"/>
          <w:lang w:eastAsia="zh-CN"/>
        </w:rPr>
        <w:t>。</w:t>
      </w:r>
      <w:r>
        <w:rPr>
          <w:rFonts w:hint="default" w:ascii="Times New Roman" w:hAnsi="Times New Roman"/>
          <w:szCs w:val="32"/>
        </w:rPr>
        <w:t>其中：公务用车购置费202</w:t>
      </w:r>
      <w:r>
        <w:rPr>
          <w:rFonts w:hint="eastAsia"/>
          <w:szCs w:val="32"/>
          <w:lang w:val="en-US" w:eastAsia="zh-CN"/>
        </w:rPr>
        <w:t>6</w:t>
      </w:r>
      <w:r>
        <w:rPr>
          <w:rFonts w:hint="default" w:ascii="Times New Roman" w:hAnsi="Times New Roman"/>
          <w:szCs w:val="32"/>
        </w:rPr>
        <w:t>年预算安排</w:t>
      </w:r>
      <w:r>
        <w:rPr>
          <w:rFonts w:hint="eastAsia"/>
          <w:szCs w:val="32"/>
          <w:lang w:val="en-US" w:eastAsia="zh-CN"/>
        </w:rPr>
        <w:t>0</w:t>
      </w:r>
      <w:r>
        <w:rPr>
          <w:rFonts w:hint="default" w:ascii="Times New Roman" w:hAnsi="Times New Roman"/>
          <w:szCs w:val="32"/>
        </w:rPr>
        <w:t>万元，</w:t>
      </w:r>
      <w:r>
        <w:rPr>
          <w:rFonts w:hint="default" w:ascii="Times New Roman" w:hAnsi="Times New Roman"/>
          <w:b w:val="0"/>
          <w:bCs w:val="0"/>
          <w:szCs w:val="24"/>
          <w:u w:val="none"/>
        </w:rPr>
        <w:t>与上年持平</w:t>
      </w:r>
      <w:r>
        <w:rPr>
          <w:rFonts w:hint="default" w:ascii="Times New Roman" w:hAnsi="Times New Roman" w:cs="Times New Roman"/>
          <w:kern w:val="0"/>
        </w:rPr>
        <w:t>；</w:t>
      </w:r>
      <w:r>
        <w:rPr>
          <w:rFonts w:hint="default" w:ascii="Times New Roman" w:hAnsi="Times New Roman"/>
          <w:szCs w:val="32"/>
        </w:rPr>
        <w:t>公务用车运行维护费202</w:t>
      </w:r>
      <w:r>
        <w:rPr>
          <w:rFonts w:hint="eastAsia"/>
          <w:szCs w:val="32"/>
          <w:lang w:val="en-US" w:eastAsia="zh-CN"/>
        </w:rPr>
        <w:t>6</w:t>
      </w:r>
      <w:r>
        <w:rPr>
          <w:rFonts w:hint="default" w:ascii="Times New Roman" w:hAnsi="Times New Roman"/>
          <w:szCs w:val="32"/>
        </w:rPr>
        <w:t>年预算安排</w:t>
      </w:r>
      <w:r>
        <w:rPr>
          <w:rFonts w:hint="eastAsia"/>
          <w:szCs w:val="32"/>
          <w:lang w:val="en-US" w:eastAsia="zh-CN"/>
        </w:rPr>
        <w:t>0</w:t>
      </w:r>
      <w:r>
        <w:rPr>
          <w:rFonts w:hint="default" w:ascii="Times New Roman" w:hAnsi="Times New Roman"/>
          <w:szCs w:val="32"/>
        </w:rPr>
        <w:t>万元，</w:t>
      </w:r>
      <w:r>
        <w:rPr>
          <w:rFonts w:hint="default" w:ascii="Times New Roman" w:hAnsi="Times New Roman"/>
          <w:b w:val="0"/>
          <w:bCs w:val="0"/>
          <w:szCs w:val="24"/>
          <w:u w:val="none"/>
        </w:rPr>
        <w:t>与上年持平</w:t>
      </w:r>
      <w:r>
        <w:rPr>
          <w:rFonts w:hint="default"/>
          <w:b w:val="0"/>
          <w:bCs w:val="0"/>
          <w:szCs w:val="24"/>
          <w:u w:val="none"/>
          <w:lang w:eastAsia="zh-CN"/>
        </w:rPr>
        <w:t>。</w:t>
      </w:r>
    </w:p>
    <w:p w14:paraId="2B8035E2">
      <w:pPr>
        <w:tabs>
          <w:tab w:val="center" w:pos="4475"/>
        </w:tabs>
        <w:spacing w:line="560" w:lineRule="exact"/>
        <w:ind w:firstLine="645"/>
        <w:rPr>
          <w:rFonts w:hint="default" w:ascii="Times New Roman" w:eastAsia="仿宋_GB2312"/>
          <w:szCs w:val="24"/>
          <w:lang w:eastAsia="zh-CN"/>
        </w:rPr>
      </w:pPr>
      <w:r>
        <w:rPr>
          <w:rFonts w:hint="default" w:ascii="Times New Roman"/>
          <w:lang w:eastAsia="zh-CN"/>
        </w:rPr>
        <w:t>（三）</w:t>
      </w:r>
      <w:r>
        <w:rPr>
          <w:rFonts w:hint="default" w:ascii="Times New Roman"/>
        </w:rPr>
        <w:t>公务接待费</w:t>
      </w:r>
      <w:r>
        <w:rPr>
          <w:rFonts w:hint="default" w:ascii="Times New Roman" w:hAnsi="Times New Roman"/>
          <w:szCs w:val="32"/>
        </w:rPr>
        <w:t>202</w:t>
      </w:r>
      <w:r>
        <w:rPr>
          <w:rFonts w:hint="eastAsia"/>
          <w:szCs w:val="32"/>
          <w:lang w:val="en-US" w:eastAsia="zh-CN"/>
        </w:rPr>
        <w:t>6</w:t>
      </w:r>
      <w:r>
        <w:rPr>
          <w:rFonts w:hint="default" w:ascii="Times New Roman" w:hAnsi="Times New Roman"/>
          <w:szCs w:val="32"/>
        </w:rPr>
        <w:t>年预算安排</w:t>
      </w:r>
      <w:r>
        <w:rPr>
          <w:rFonts w:hint="eastAsia"/>
          <w:szCs w:val="32"/>
          <w:lang w:val="en-US" w:eastAsia="zh-CN"/>
        </w:rPr>
        <w:t>0.5</w:t>
      </w:r>
      <w:r>
        <w:rPr>
          <w:rFonts w:hint="default" w:ascii="Times New Roman" w:hAnsi="Times New Roman"/>
          <w:szCs w:val="32"/>
        </w:rPr>
        <w:t>万元，</w:t>
      </w:r>
      <w:r>
        <w:rPr>
          <w:rFonts w:hint="eastAsia"/>
          <w:szCs w:val="32"/>
          <w:lang w:eastAsia="zh-CN"/>
        </w:rPr>
        <w:t>与上年基本持平</w:t>
      </w:r>
      <w:r>
        <w:rPr>
          <w:rFonts w:hint="default" w:ascii="Times New Roman" w:hAnsi="Times New Roman" w:cs="Times New Roman"/>
          <w:kern w:val="0"/>
        </w:rPr>
        <w:t>。</w:t>
      </w:r>
    </w:p>
    <w:p w14:paraId="4E36F959">
      <w:pPr>
        <w:tabs>
          <w:tab w:val="center" w:pos="4475"/>
        </w:tabs>
        <w:spacing w:line="560" w:lineRule="exact"/>
        <w:ind w:firstLine="645"/>
        <w:rPr>
          <w:rFonts w:hint="default" w:ascii="Times New Roman" w:hAnsi="Times New Roman" w:eastAsia="黑体" w:cs="Times New Roman"/>
          <w:szCs w:val="32"/>
          <w:lang w:eastAsia="zh-CN"/>
        </w:rPr>
      </w:pPr>
      <w:r>
        <w:rPr>
          <w:rFonts w:hint="default" w:ascii="Times New Roman" w:hAnsi="Times New Roman" w:eastAsia="黑体" w:cs="Times New Roman"/>
          <w:szCs w:val="32"/>
          <w:lang w:eastAsia="zh-CN"/>
        </w:rPr>
        <w:t>七、</w:t>
      </w:r>
      <w:r>
        <w:rPr>
          <w:rFonts w:hint="default" w:ascii="Times New Roman" w:hAnsi="Times New Roman" w:eastAsia="黑体" w:cs="Times New Roman"/>
          <w:szCs w:val="32"/>
        </w:rPr>
        <w:t>机关运行经费安排情况说明</w:t>
      </w:r>
    </w:p>
    <w:p w14:paraId="6795F637">
      <w:pPr>
        <w:tabs>
          <w:tab w:val="center" w:pos="4475"/>
        </w:tabs>
        <w:spacing w:line="560" w:lineRule="exact"/>
        <w:ind w:firstLine="645"/>
        <w:rPr>
          <w:rFonts w:hint="default" w:ascii="Times New Roman"/>
          <w:sz w:val="32"/>
          <w:szCs w:val="32"/>
          <w:lang w:val="en-US" w:eastAsia="zh-CN"/>
        </w:rPr>
      </w:pPr>
      <w:r>
        <w:rPr>
          <w:rFonts w:hint="default" w:ascii="Times New Roman" w:hAnsi="Times New Roman"/>
          <w:kern w:val="0"/>
          <w:szCs w:val="24"/>
          <w:highlight w:val="none"/>
          <w:u w:val="none"/>
          <w:lang w:eastAsia="zh-CN"/>
        </w:rPr>
        <w:t>我</w:t>
      </w:r>
      <w:r>
        <w:rPr>
          <w:rFonts w:hint="eastAsia"/>
          <w:kern w:val="0"/>
          <w:szCs w:val="24"/>
          <w:highlight w:val="none"/>
          <w:u w:val="none"/>
          <w:lang w:eastAsia="zh-CN"/>
        </w:rPr>
        <w:t>单位事业</w:t>
      </w:r>
      <w:r>
        <w:rPr>
          <w:rFonts w:hint="default" w:ascii="Times New Roman" w:hAnsi="Times New Roman"/>
          <w:kern w:val="0"/>
          <w:szCs w:val="24"/>
          <w:highlight w:val="none"/>
          <w:u w:val="none"/>
          <w:lang w:eastAsia="zh-CN"/>
        </w:rPr>
        <w:t>运行经费主要包括</w:t>
      </w:r>
      <w:r>
        <w:rPr>
          <w:rFonts w:hint="eastAsia"/>
          <w:kern w:val="0"/>
          <w:szCs w:val="24"/>
          <w:highlight w:val="none"/>
          <w:u w:val="none"/>
          <w:lang w:eastAsia="zh-CN"/>
        </w:rPr>
        <w:t>单位</w:t>
      </w:r>
      <w:r>
        <w:rPr>
          <w:rFonts w:hint="default" w:ascii="Times New Roman" w:hAnsi="Times New Roman"/>
          <w:kern w:val="0"/>
          <w:szCs w:val="24"/>
          <w:highlight w:val="none"/>
          <w:u w:val="none"/>
          <w:lang w:eastAsia="zh-CN"/>
        </w:rPr>
        <w:t>为保障日常运转发生的购买货物和服务的各项资金，包括办公及印刷费、水电费、邮电费、差旅费、会议费、福利费、日常维修费、</w:t>
      </w:r>
      <w:r>
        <w:rPr>
          <w:rFonts w:hint="eastAsia"/>
          <w:kern w:val="0"/>
          <w:szCs w:val="24"/>
          <w:highlight w:val="none"/>
          <w:u w:val="none"/>
          <w:lang w:eastAsia="zh-CN"/>
        </w:rPr>
        <w:t>接待费</w:t>
      </w:r>
      <w:r>
        <w:rPr>
          <w:rFonts w:hint="default" w:ascii="Times New Roman" w:hAnsi="Times New Roman"/>
          <w:kern w:val="0"/>
          <w:szCs w:val="24"/>
          <w:highlight w:val="none"/>
          <w:u w:val="none"/>
          <w:lang w:eastAsia="zh-CN"/>
        </w:rPr>
        <w:t>以及其他费用。我</w:t>
      </w:r>
      <w:r>
        <w:rPr>
          <w:rFonts w:hint="eastAsia"/>
          <w:kern w:val="0"/>
          <w:szCs w:val="24"/>
          <w:highlight w:val="none"/>
          <w:u w:val="none"/>
          <w:lang w:eastAsia="zh-CN"/>
        </w:rPr>
        <w:t>单位</w:t>
      </w:r>
      <w:r>
        <w:rPr>
          <w:rFonts w:hint="default" w:ascii="Times New Roman" w:hAnsi="Times New Roman"/>
          <w:kern w:val="0"/>
          <w:szCs w:val="24"/>
          <w:highlight w:val="none"/>
          <w:u w:val="none"/>
          <w:lang w:eastAsia="zh-CN"/>
        </w:rPr>
        <w:t>202</w:t>
      </w:r>
      <w:r>
        <w:rPr>
          <w:rFonts w:hint="eastAsia"/>
          <w:kern w:val="0"/>
          <w:szCs w:val="24"/>
          <w:highlight w:val="none"/>
          <w:u w:val="none"/>
          <w:lang w:eastAsia="zh-CN"/>
        </w:rPr>
        <w:t>6</w:t>
      </w:r>
      <w:r>
        <w:rPr>
          <w:rFonts w:hint="default" w:ascii="Times New Roman" w:hAnsi="Times New Roman"/>
          <w:kern w:val="0"/>
          <w:szCs w:val="24"/>
          <w:highlight w:val="none"/>
          <w:u w:val="none"/>
          <w:lang w:eastAsia="zh-CN"/>
        </w:rPr>
        <w:t>年</w:t>
      </w:r>
      <w:r>
        <w:rPr>
          <w:rFonts w:hint="eastAsia"/>
          <w:kern w:val="0"/>
          <w:szCs w:val="24"/>
          <w:highlight w:val="none"/>
          <w:u w:val="none"/>
          <w:lang w:eastAsia="zh-CN"/>
        </w:rPr>
        <w:t>事业</w:t>
      </w:r>
      <w:r>
        <w:rPr>
          <w:rFonts w:hint="default" w:ascii="Times New Roman" w:hAnsi="Times New Roman"/>
          <w:kern w:val="0"/>
          <w:szCs w:val="24"/>
          <w:highlight w:val="none"/>
          <w:u w:val="none"/>
          <w:lang w:eastAsia="zh-CN"/>
        </w:rPr>
        <w:t>运行经费预算</w:t>
      </w:r>
      <w:r>
        <w:rPr>
          <w:rFonts w:hint="eastAsia"/>
          <w:kern w:val="0"/>
          <w:szCs w:val="24"/>
          <w:highlight w:val="none"/>
          <w:u w:val="none"/>
          <w:lang w:eastAsia="zh-CN"/>
        </w:rPr>
        <w:t>68.30</w:t>
      </w:r>
      <w:r>
        <w:rPr>
          <w:rFonts w:hint="default" w:ascii="Times New Roman" w:hAnsi="Times New Roman"/>
          <w:kern w:val="0"/>
          <w:szCs w:val="24"/>
          <w:highlight w:val="none"/>
          <w:u w:val="none"/>
          <w:lang w:eastAsia="zh-CN"/>
        </w:rPr>
        <w:t>万元，较上年同比</w:t>
      </w:r>
      <w:r>
        <w:rPr>
          <w:rFonts w:hint="eastAsia" w:ascii="Times New Roman" w:hAnsi="Times New Roman"/>
          <w:kern w:val="0"/>
          <w:szCs w:val="24"/>
          <w:highlight w:val="none"/>
          <w:u w:val="none"/>
          <w:lang w:eastAsia="zh-CN"/>
        </w:rPr>
        <w:t>减少</w:t>
      </w:r>
      <w:r>
        <w:rPr>
          <w:rFonts w:hint="eastAsia" w:ascii="Times New Roman" w:hAnsi="Times New Roman"/>
          <w:kern w:val="0"/>
          <w:szCs w:val="24"/>
          <w:highlight w:val="none"/>
          <w:u w:val="none"/>
          <w:lang w:val="en-US" w:eastAsia="zh-CN"/>
        </w:rPr>
        <w:t>0.9</w:t>
      </w:r>
      <w:r>
        <w:rPr>
          <w:rFonts w:hint="default" w:ascii="Times New Roman" w:hAnsi="Times New Roman"/>
          <w:kern w:val="0"/>
          <w:szCs w:val="24"/>
          <w:highlight w:val="none"/>
          <w:u w:val="none"/>
          <w:lang w:eastAsia="zh-CN"/>
        </w:rPr>
        <w:t>万元，</w:t>
      </w:r>
      <w:r>
        <w:rPr>
          <w:rFonts w:hint="eastAsia" w:ascii="Times New Roman" w:hAnsi="Times New Roman"/>
          <w:kern w:val="0"/>
          <w:szCs w:val="24"/>
          <w:highlight w:val="none"/>
          <w:u w:val="none"/>
          <w:lang w:eastAsia="zh-CN"/>
        </w:rPr>
        <w:t>下降</w:t>
      </w:r>
      <w:r>
        <w:rPr>
          <w:rFonts w:hint="eastAsia" w:ascii="Times New Roman" w:hAnsi="Times New Roman"/>
          <w:kern w:val="0"/>
          <w:szCs w:val="24"/>
          <w:highlight w:val="none"/>
          <w:u w:val="none"/>
          <w:lang w:val="en-US" w:eastAsia="zh-CN"/>
        </w:rPr>
        <w:t>1.3</w:t>
      </w:r>
      <w:r>
        <w:rPr>
          <w:rFonts w:hint="default" w:ascii="Times New Roman" w:hAnsi="Times New Roman"/>
          <w:kern w:val="0"/>
          <w:szCs w:val="24"/>
          <w:highlight w:val="none"/>
          <w:u w:val="none"/>
          <w:lang w:eastAsia="zh-CN"/>
        </w:rPr>
        <w:t>％</w:t>
      </w:r>
      <w:r>
        <w:rPr>
          <w:rFonts w:hint="eastAsia"/>
          <w:kern w:val="0"/>
          <w:szCs w:val="24"/>
          <w:highlight w:val="none"/>
          <w:u w:val="none"/>
          <w:lang w:eastAsia="zh-CN"/>
        </w:rPr>
        <w:t>，</w:t>
      </w:r>
      <w:r>
        <w:rPr>
          <w:rFonts w:hint="eastAsia" w:cs="Times New Roman"/>
          <w:kern w:val="0"/>
          <w:lang w:eastAsia="zh-CN"/>
        </w:rPr>
        <w:t>减少</w:t>
      </w:r>
      <w:r>
        <w:rPr>
          <w:rFonts w:hint="default" w:ascii="Times New Roman" w:hAnsi="Times New Roman" w:cs="Times New Roman"/>
          <w:kern w:val="0"/>
        </w:rPr>
        <w:t>的主要原因是</w:t>
      </w:r>
      <w:r>
        <w:rPr>
          <w:rFonts w:hint="eastAsia"/>
          <w:sz w:val="32"/>
          <w:szCs w:val="32"/>
          <w:lang w:val="en-US" w:eastAsia="zh-CN"/>
        </w:rPr>
        <w:t>落实财政过紧日子要求，压减运行经费预算</w:t>
      </w:r>
      <w:r>
        <w:rPr>
          <w:rFonts w:hint="default" w:ascii="Times New Roman"/>
          <w:sz w:val="32"/>
          <w:szCs w:val="32"/>
          <w:lang w:val="en-US" w:eastAsia="zh-CN"/>
        </w:rPr>
        <w:t>。</w:t>
      </w:r>
    </w:p>
    <w:p w14:paraId="334AC9E0">
      <w:pPr>
        <w:tabs>
          <w:tab w:val="center" w:pos="4475"/>
        </w:tabs>
        <w:spacing w:line="560" w:lineRule="exact"/>
        <w:ind w:firstLine="645"/>
        <w:rPr>
          <w:rFonts w:hint="default" w:ascii="Times New Roman" w:hAnsi="Times New Roman" w:eastAsia="黑体" w:cs="Times New Roman"/>
          <w:kern w:val="0"/>
          <w:lang w:eastAsia="zh-CN"/>
        </w:rPr>
      </w:pPr>
      <w:r>
        <w:rPr>
          <w:rFonts w:hint="default" w:ascii="Times New Roman" w:hAnsi="Times New Roman" w:eastAsia="黑体" w:cs="Times New Roman"/>
          <w:szCs w:val="32"/>
          <w:lang w:eastAsia="zh-CN"/>
        </w:rPr>
        <w:t>八、</w:t>
      </w:r>
      <w:r>
        <w:rPr>
          <w:rFonts w:hint="default" w:ascii="Times New Roman" w:hAnsi="Times New Roman" w:eastAsia="黑体" w:cs="Times New Roman"/>
          <w:kern w:val="0"/>
        </w:rPr>
        <w:t>政府采购预算安排情况说明</w:t>
      </w:r>
    </w:p>
    <w:p w14:paraId="119E4215">
      <w:pPr>
        <w:tabs>
          <w:tab w:val="center" w:pos="4475"/>
        </w:tabs>
        <w:spacing w:line="560" w:lineRule="exact"/>
        <w:ind w:firstLine="645"/>
        <w:rPr>
          <w:rFonts w:hint="default" w:ascii="Times New Roman" w:hAnsi="Times New Roman" w:eastAsia="黑体" w:cs="Times New Roman"/>
          <w:kern w:val="0"/>
        </w:rPr>
      </w:pPr>
      <w:r>
        <w:rPr>
          <w:rFonts w:hint="default" w:ascii="Times New Roman" w:hAnsi="Times New Roman"/>
          <w:szCs w:val="32"/>
          <w:highlight w:val="none"/>
        </w:rPr>
        <w:t>我</w:t>
      </w:r>
      <w:r>
        <w:rPr>
          <w:rFonts w:hint="eastAsia"/>
          <w:szCs w:val="32"/>
          <w:lang w:eastAsia="zh-CN"/>
        </w:rPr>
        <w:t>单位</w:t>
      </w:r>
      <w:r>
        <w:rPr>
          <w:rFonts w:hint="default" w:ascii="Times New Roman" w:hAnsi="Times New Roman"/>
          <w:szCs w:val="32"/>
        </w:rPr>
        <w:t>202</w:t>
      </w:r>
      <w:r>
        <w:rPr>
          <w:rFonts w:hint="eastAsia"/>
          <w:szCs w:val="32"/>
          <w:lang w:val="en-US" w:eastAsia="zh-CN"/>
        </w:rPr>
        <w:t>6</w:t>
      </w:r>
      <w:r>
        <w:rPr>
          <w:rFonts w:hint="default" w:ascii="Times New Roman" w:hAnsi="Times New Roman"/>
          <w:szCs w:val="32"/>
        </w:rPr>
        <w:t>年政府采购预算总金额</w:t>
      </w:r>
      <w:r>
        <w:rPr>
          <w:rFonts w:hint="eastAsia"/>
          <w:szCs w:val="32"/>
          <w:lang w:val="en-US" w:eastAsia="zh-CN"/>
        </w:rPr>
        <w:t>235.6</w:t>
      </w:r>
      <w:r>
        <w:rPr>
          <w:rFonts w:hint="default" w:ascii="Times New Roman" w:hAnsi="Times New Roman"/>
          <w:szCs w:val="32"/>
        </w:rPr>
        <w:t>万元。其中：货物类采购</w:t>
      </w:r>
      <w:r>
        <w:rPr>
          <w:rFonts w:hint="eastAsia"/>
          <w:szCs w:val="32"/>
          <w:lang w:val="en-US" w:eastAsia="zh-CN"/>
        </w:rPr>
        <w:t>5.6</w:t>
      </w:r>
      <w:r>
        <w:rPr>
          <w:rFonts w:hint="default" w:ascii="Times New Roman" w:hAnsi="Times New Roman"/>
          <w:szCs w:val="32"/>
        </w:rPr>
        <w:t>万元、工程类采购</w:t>
      </w:r>
      <w:r>
        <w:rPr>
          <w:rFonts w:hint="eastAsia"/>
          <w:szCs w:val="32"/>
          <w:lang w:val="en-US" w:eastAsia="zh-CN"/>
        </w:rPr>
        <w:t>0</w:t>
      </w:r>
      <w:r>
        <w:rPr>
          <w:rFonts w:hint="default" w:ascii="Times New Roman" w:hAnsi="Times New Roman"/>
          <w:szCs w:val="32"/>
        </w:rPr>
        <w:t>万元、服务类采购</w:t>
      </w:r>
      <w:r>
        <w:rPr>
          <w:rFonts w:hint="eastAsia"/>
          <w:szCs w:val="32"/>
          <w:lang w:val="en-US" w:eastAsia="zh-CN"/>
        </w:rPr>
        <w:t>230</w:t>
      </w:r>
      <w:r>
        <w:rPr>
          <w:rFonts w:hint="default" w:ascii="Times New Roman" w:hAnsi="Times New Roman"/>
          <w:szCs w:val="32"/>
        </w:rPr>
        <w:t>万元。</w:t>
      </w:r>
    </w:p>
    <w:p w14:paraId="2AD748AB">
      <w:pPr>
        <w:tabs>
          <w:tab w:val="center" w:pos="4475"/>
        </w:tabs>
        <w:spacing w:line="560" w:lineRule="exact"/>
        <w:ind w:firstLine="645"/>
        <w:rPr>
          <w:rFonts w:hint="default" w:ascii="Times New Roman" w:hAnsi="Times New Roman" w:eastAsia="黑体" w:cs="Times New Roman"/>
          <w:kern w:val="0"/>
          <w:lang w:eastAsia="zh-CN"/>
        </w:rPr>
      </w:pPr>
      <w:r>
        <w:rPr>
          <w:rFonts w:hint="default" w:ascii="Times New Roman" w:hAnsi="Times New Roman" w:eastAsia="黑体" w:cs="Times New Roman"/>
          <w:kern w:val="0"/>
          <w:lang w:eastAsia="zh-CN"/>
        </w:rPr>
        <w:t>九、</w:t>
      </w:r>
      <w:r>
        <w:rPr>
          <w:rFonts w:hint="default" w:ascii="Times New Roman" w:hAnsi="Times New Roman" w:eastAsia="黑体" w:cs="Times New Roman"/>
          <w:kern w:val="0"/>
        </w:rPr>
        <w:t>国有资产占用情况说明</w:t>
      </w:r>
    </w:p>
    <w:p w14:paraId="6E772ABB">
      <w:pPr>
        <w:tabs>
          <w:tab w:val="center" w:pos="4475"/>
        </w:tabs>
        <w:spacing w:line="560" w:lineRule="exact"/>
        <w:ind w:firstLine="645"/>
        <w:rPr>
          <w:rFonts w:hint="default" w:ascii="Times New Roman" w:hAnsi="Times New Roman" w:eastAsia="仿宋_GB2312" w:cs="Times New Roman"/>
          <w:kern w:val="2"/>
          <w:szCs w:val="32"/>
        </w:rPr>
      </w:pPr>
      <w:r>
        <w:rPr>
          <w:rFonts w:hint="default" w:ascii="Times New Roman" w:hAnsi="Times New Roman"/>
          <w:b w:val="0"/>
          <w:bCs w:val="0"/>
          <w:szCs w:val="32"/>
          <w:highlight w:val="none"/>
          <w:u w:val="none"/>
        </w:rPr>
        <w:t>我</w:t>
      </w:r>
      <w:r>
        <w:rPr>
          <w:rFonts w:hint="eastAsia"/>
          <w:b w:val="0"/>
          <w:bCs w:val="0"/>
          <w:szCs w:val="32"/>
          <w:highlight w:val="none"/>
          <w:u w:val="none"/>
          <w:lang w:eastAsia="zh-CN"/>
        </w:rPr>
        <w:t>单位</w:t>
      </w:r>
      <w:r>
        <w:rPr>
          <w:rFonts w:hint="default" w:ascii="Times New Roman" w:hAnsi="Times New Roman"/>
          <w:b w:val="0"/>
          <w:bCs w:val="0"/>
          <w:szCs w:val="32"/>
          <w:highlight w:val="none"/>
          <w:u w:val="none"/>
        </w:rPr>
        <w:t>202</w:t>
      </w:r>
      <w:r>
        <w:rPr>
          <w:rFonts w:hint="default"/>
          <w:b w:val="0"/>
          <w:bCs w:val="0"/>
          <w:szCs w:val="32"/>
          <w:highlight w:val="none"/>
          <w:u w:val="none"/>
          <w:lang w:val="en-US" w:eastAsia="zh-CN"/>
        </w:rPr>
        <w:t>6</w:t>
      </w:r>
      <w:r>
        <w:rPr>
          <w:rFonts w:hint="default" w:ascii="Times New Roman" w:hAnsi="Times New Roman"/>
          <w:b w:val="0"/>
          <w:bCs w:val="0"/>
          <w:szCs w:val="32"/>
          <w:highlight w:val="none"/>
          <w:u w:val="none"/>
        </w:rPr>
        <w:t>年无国有资产占用相关情况。</w:t>
      </w:r>
    </w:p>
    <w:p w14:paraId="72068B52">
      <w:pPr>
        <w:tabs>
          <w:tab w:val="center" w:pos="4475"/>
        </w:tabs>
        <w:spacing w:line="560" w:lineRule="exact"/>
        <w:ind w:firstLine="645"/>
        <w:rPr>
          <w:rFonts w:hint="default" w:ascii="Times New Roman" w:hAnsi="Times New Roman" w:eastAsia="仿宋_GB2312" w:cs="Times New Roman"/>
          <w:szCs w:val="32"/>
          <w:highlight w:val="none"/>
          <w:lang w:val="en-US" w:eastAsia="zh-CN"/>
        </w:rPr>
      </w:pPr>
      <w:r>
        <w:rPr>
          <w:rFonts w:hint="default" w:ascii="Times New Roman" w:cs="Times New Roman"/>
          <w:kern w:val="0"/>
          <w:szCs w:val="32"/>
          <w:highlight w:val="none"/>
        </w:rPr>
        <w:t>截至</w:t>
      </w:r>
      <w:r>
        <w:rPr>
          <w:rFonts w:hint="default" w:ascii="Times New Roman" w:cs="Times New Roman"/>
          <w:kern w:val="0"/>
          <w:szCs w:val="32"/>
          <w:highlight w:val="none"/>
          <w:lang w:eastAsia="zh-CN"/>
        </w:rPr>
        <w:t>20</w:t>
      </w:r>
      <w:r>
        <w:rPr>
          <w:rFonts w:hint="default" w:ascii="Times New Roman" w:cs="Times New Roman"/>
          <w:kern w:val="0"/>
          <w:szCs w:val="32"/>
          <w:highlight w:val="none"/>
          <w:lang w:val="en-US" w:eastAsia="zh-CN"/>
        </w:rPr>
        <w:t>2</w:t>
      </w:r>
      <w:r>
        <w:rPr>
          <w:rFonts w:hint="eastAsia" w:cs="Times New Roman"/>
          <w:kern w:val="0"/>
          <w:szCs w:val="32"/>
          <w:highlight w:val="none"/>
          <w:lang w:val="en-US" w:eastAsia="zh-CN"/>
        </w:rPr>
        <w:t>5</w:t>
      </w:r>
      <w:r>
        <w:rPr>
          <w:rFonts w:hint="default" w:ascii="Times New Roman" w:cs="Times New Roman"/>
          <w:kern w:val="0"/>
          <w:szCs w:val="32"/>
          <w:highlight w:val="none"/>
          <w:lang w:eastAsia="zh-CN"/>
        </w:rPr>
        <w:t>年</w:t>
      </w:r>
      <w:r>
        <w:rPr>
          <w:rFonts w:hint="default" w:ascii="Times New Roman" w:cs="Times New Roman"/>
          <w:kern w:val="0"/>
          <w:szCs w:val="32"/>
          <w:highlight w:val="none"/>
        </w:rPr>
        <w:t>12月31日，本部门共有车辆</w:t>
      </w:r>
      <w:r>
        <w:rPr>
          <w:rFonts w:hint="eastAsia" w:cs="Times New Roman"/>
          <w:kern w:val="0"/>
          <w:szCs w:val="32"/>
          <w:highlight w:val="none"/>
          <w:lang w:val="en-US" w:eastAsia="zh-CN"/>
        </w:rPr>
        <w:t>0</w:t>
      </w:r>
      <w:r>
        <w:rPr>
          <w:rFonts w:hint="default" w:ascii="Times New Roman" w:cs="Times New Roman"/>
          <w:kern w:val="0"/>
          <w:szCs w:val="32"/>
          <w:highlight w:val="none"/>
        </w:rPr>
        <w:t>辆，其中，一般公务用车</w:t>
      </w:r>
      <w:r>
        <w:rPr>
          <w:rFonts w:hint="eastAsia" w:cs="Times New Roman"/>
          <w:kern w:val="0"/>
          <w:szCs w:val="32"/>
          <w:highlight w:val="none"/>
          <w:lang w:val="en-US" w:eastAsia="zh-CN"/>
        </w:rPr>
        <w:t>0</w:t>
      </w:r>
      <w:r>
        <w:rPr>
          <w:rFonts w:hint="default" w:ascii="Times New Roman" w:cs="Times New Roman"/>
          <w:kern w:val="0"/>
          <w:szCs w:val="32"/>
          <w:highlight w:val="none"/>
        </w:rPr>
        <w:t>辆、一般执法执勤用车</w:t>
      </w:r>
      <w:r>
        <w:rPr>
          <w:rFonts w:hint="eastAsia" w:cs="Times New Roman"/>
          <w:kern w:val="0"/>
          <w:szCs w:val="32"/>
          <w:highlight w:val="none"/>
          <w:lang w:val="en-US" w:eastAsia="zh-CN"/>
        </w:rPr>
        <w:t>0</w:t>
      </w:r>
      <w:r>
        <w:rPr>
          <w:rFonts w:hint="default" w:ascii="Times New Roman" w:cs="Times New Roman"/>
          <w:kern w:val="0"/>
          <w:szCs w:val="32"/>
          <w:highlight w:val="none"/>
        </w:rPr>
        <w:t>辆、特种专业技术用车  辆、其他用车</w:t>
      </w:r>
      <w:r>
        <w:rPr>
          <w:rFonts w:hint="eastAsia" w:cs="Times New Roman"/>
          <w:kern w:val="0"/>
          <w:szCs w:val="32"/>
          <w:highlight w:val="none"/>
          <w:lang w:val="en-US" w:eastAsia="zh-CN"/>
        </w:rPr>
        <w:t>0</w:t>
      </w:r>
      <w:r>
        <w:rPr>
          <w:rFonts w:hint="default" w:ascii="Times New Roman" w:cs="Times New Roman"/>
          <w:kern w:val="0"/>
          <w:szCs w:val="32"/>
          <w:highlight w:val="none"/>
        </w:rPr>
        <w:t>辆；单位价值50万元以上通用设备</w:t>
      </w:r>
      <w:r>
        <w:rPr>
          <w:rFonts w:hint="eastAsia" w:cs="Times New Roman"/>
          <w:kern w:val="0"/>
          <w:szCs w:val="32"/>
          <w:highlight w:val="none"/>
          <w:lang w:val="en-US" w:eastAsia="zh-CN"/>
        </w:rPr>
        <w:t>0</w:t>
      </w:r>
      <w:r>
        <w:rPr>
          <w:rFonts w:hint="default" w:ascii="Times New Roman" w:cs="Times New Roman"/>
          <w:kern w:val="0"/>
          <w:szCs w:val="32"/>
          <w:highlight w:val="none"/>
        </w:rPr>
        <w:t>台（套），100万元以上专用设备</w:t>
      </w:r>
      <w:r>
        <w:rPr>
          <w:rFonts w:hint="eastAsia" w:cs="Times New Roman"/>
          <w:kern w:val="0"/>
          <w:szCs w:val="32"/>
          <w:highlight w:val="none"/>
          <w:lang w:val="en-US" w:eastAsia="zh-CN"/>
        </w:rPr>
        <w:t>0</w:t>
      </w:r>
      <w:r>
        <w:rPr>
          <w:rFonts w:hint="default" w:ascii="Times New Roman" w:cs="Times New Roman"/>
          <w:kern w:val="0"/>
          <w:szCs w:val="32"/>
          <w:highlight w:val="none"/>
        </w:rPr>
        <w:t>台（套）。</w:t>
      </w:r>
    </w:p>
    <w:p w14:paraId="25E6C314">
      <w:pPr>
        <w:tabs>
          <w:tab w:val="center" w:pos="4475"/>
        </w:tabs>
        <w:spacing w:line="560" w:lineRule="exact"/>
        <w:ind w:firstLine="645"/>
        <w:rPr>
          <w:rFonts w:hint="default" w:ascii="Times New Roman" w:hAnsi="Times New Roman" w:eastAsia="黑体" w:cs="Times New Roman"/>
          <w:szCs w:val="32"/>
          <w:lang w:eastAsia="zh-CN"/>
        </w:rPr>
      </w:pPr>
      <w:r>
        <w:rPr>
          <w:rFonts w:hint="default" w:ascii="Times New Roman" w:hAnsi="Times New Roman" w:eastAsia="黑体" w:cs="Times New Roman"/>
          <w:szCs w:val="32"/>
          <w:lang w:eastAsia="zh-CN"/>
        </w:rPr>
        <w:t>十、</w:t>
      </w:r>
      <w:r>
        <w:rPr>
          <w:rFonts w:hint="default" w:ascii="Times New Roman" w:hAnsi="Times New Roman" w:eastAsia="黑体" w:cs="Times New Roman"/>
          <w:szCs w:val="32"/>
        </w:rPr>
        <w:t>预算绩效目标情况说明</w:t>
      </w:r>
    </w:p>
    <w:p w14:paraId="19C71101">
      <w:pPr>
        <w:tabs>
          <w:tab w:val="center" w:pos="4475"/>
        </w:tabs>
        <w:spacing w:line="560" w:lineRule="exact"/>
        <w:ind w:firstLine="645"/>
        <w:rPr>
          <w:rFonts w:hint="default" w:ascii="Times New Roman" w:eastAsia="仿宋_GB2312"/>
          <w:sz w:val="32"/>
          <w:szCs w:val="32"/>
          <w:lang w:val="en-US" w:eastAsia="zh-CN"/>
        </w:rPr>
      </w:pPr>
      <w:r>
        <w:rPr>
          <w:rFonts w:hint="default" w:ascii="Times New Roman"/>
          <w:sz w:val="32"/>
          <w:szCs w:val="32"/>
          <w:lang w:val="en-US" w:eastAsia="zh-CN"/>
        </w:rPr>
        <w:t>（一）我</w:t>
      </w:r>
      <w:r>
        <w:rPr>
          <w:rFonts w:hint="eastAsia"/>
          <w:sz w:val="32"/>
          <w:szCs w:val="32"/>
          <w:lang w:val="en-US" w:eastAsia="zh-CN"/>
        </w:rPr>
        <w:t>单位</w:t>
      </w:r>
      <w:r>
        <w:rPr>
          <w:rFonts w:hint="default" w:ascii="Times New Roman" w:eastAsia="仿宋_GB2312"/>
          <w:sz w:val="32"/>
          <w:szCs w:val="32"/>
          <w:lang w:val="en-US" w:eastAsia="zh-CN"/>
        </w:rPr>
        <w:t>202</w:t>
      </w:r>
      <w:r>
        <w:rPr>
          <w:rFonts w:hint="eastAsia"/>
          <w:sz w:val="32"/>
          <w:szCs w:val="32"/>
          <w:lang w:val="en-US" w:eastAsia="zh-CN"/>
        </w:rPr>
        <w:t>6</w:t>
      </w:r>
      <w:r>
        <w:rPr>
          <w:rFonts w:hint="default" w:ascii="Times New Roman" w:eastAsia="仿宋_GB2312"/>
          <w:sz w:val="32"/>
          <w:szCs w:val="32"/>
          <w:lang w:val="en-US" w:eastAsia="zh-CN"/>
        </w:rPr>
        <w:t>年所有项目支出全面实施绩效目标管理，涉及</w:t>
      </w:r>
      <w:r>
        <w:rPr>
          <w:rFonts w:hint="default" w:ascii="Times New Roman"/>
          <w:sz w:val="32"/>
          <w:szCs w:val="32"/>
          <w:lang w:val="en-US" w:eastAsia="zh-CN"/>
        </w:rPr>
        <w:t>市直</w:t>
      </w:r>
      <w:r>
        <w:rPr>
          <w:rFonts w:hint="default" w:ascii="Times New Roman" w:eastAsia="仿宋_GB2312"/>
          <w:sz w:val="32"/>
          <w:szCs w:val="32"/>
          <w:lang w:val="en-US" w:eastAsia="zh-CN"/>
        </w:rPr>
        <w:t>项目</w:t>
      </w:r>
      <w:r>
        <w:rPr>
          <w:rFonts w:hint="eastAsia"/>
          <w:sz w:val="32"/>
          <w:szCs w:val="32"/>
          <w:lang w:val="en-US" w:eastAsia="zh-CN"/>
        </w:rPr>
        <w:t>3</w:t>
      </w:r>
      <w:r>
        <w:rPr>
          <w:rFonts w:hint="default" w:ascii="Times New Roman" w:eastAsia="仿宋_GB2312"/>
          <w:sz w:val="32"/>
          <w:szCs w:val="32"/>
          <w:lang w:val="en-US" w:eastAsia="zh-CN"/>
        </w:rPr>
        <w:t>个，预算资金</w:t>
      </w:r>
      <w:r>
        <w:rPr>
          <w:rFonts w:hint="eastAsia"/>
          <w:sz w:val="32"/>
          <w:szCs w:val="32"/>
          <w:lang w:val="en-US" w:eastAsia="zh-CN"/>
        </w:rPr>
        <w:t>601.70</w:t>
      </w:r>
      <w:r>
        <w:rPr>
          <w:rFonts w:hint="default" w:ascii="Times New Roman" w:eastAsia="仿宋_GB2312"/>
          <w:sz w:val="32"/>
          <w:szCs w:val="32"/>
          <w:lang w:val="en-US" w:eastAsia="zh-CN"/>
        </w:rPr>
        <w:t>万元；</w:t>
      </w:r>
      <w:r>
        <w:rPr>
          <w:rFonts w:hint="default" w:ascii="Times New Roman" w:eastAsia="仿宋_GB2312"/>
          <w:sz w:val="32"/>
          <w:szCs w:val="32"/>
        </w:rPr>
        <w:t>对下转移支付项目</w:t>
      </w:r>
      <w:r>
        <w:rPr>
          <w:rFonts w:hint="eastAsia"/>
          <w:sz w:val="32"/>
          <w:szCs w:val="32"/>
          <w:lang w:val="en-US" w:eastAsia="zh-CN"/>
        </w:rPr>
        <w:t>0</w:t>
      </w:r>
      <w:r>
        <w:rPr>
          <w:rFonts w:hint="default" w:ascii="Times New Roman" w:eastAsia="仿宋_GB2312"/>
          <w:sz w:val="32"/>
          <w:szCs w:val="32"/>
          <w:lang w:val="en-US" w:eastAsia="zh-CN"/>
        </w:rPr>
        <w:t>个，预算资金</w:t>
      </w:r>
      <w:r>
        <w:rPr>
          <w:rFonts w:hint="eastAsia"/>
          <w:sz w:val="32"/>
          <w:szCs w:val="32"/>
          <w:lang w:val="en-US" w:eastAsia="zh-CN"/>
        </w:rPr>
        <w:t>0</w:t>
      </w:r>
      <w:r>
        <w:rPr>
          <w:rFonts w:hint="default" w:ascii="Times New Roman" w:eastAsia="仿宋_GB2312"/>
          <w:sz w:val="32"/>
          <w:szCs w:val="32"/>
          <w:lang w:val="en-US" w:eastAsia="zh-CN"/>
        </w:rPr>
        <w:t>万元。绩效目标情况详见报表。</w:t>
      </w:r>
    </w:p>
    <w:p w14:paraId="16D0E26C">
      <w:pPr>
        <w:tabs>
          <w:tab w:val="center" w:pos="4475"/>
        </w:tabs>
        <w:spacing w:line="560" w:lineRule="exact"/>
        <w:ind w:firstLine="645"/>
        <w:rPr>
          <w:rFonts w:hint="default" w:ascii="Times New Roman" w:eastAsia="仿宋_GB2312"/>
          <w:sz w:val="32"/>
          <w:szCs w:val="32"/>
          <w:lang w:val="en-US" w:eastAsia="zh-CN"/>
        </w:rPr>
      </w:pPr>
      <w:r>
        <w:rPr>
          <w:rFonts w:hint="default" w:ascii="Times New Roman"/>
          <w:sz w:val="32"/>
          <w:szCs w:val="32"/>
          <w:lang w:val="en-US" w:eastAsia="zh-CN"/>
        </w:rPr>
        <w:t>（二）重点项目预算绩效目标说明。</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19"/>
        <w:gridCol w:w="3020"/>
        <w:gridCol w:w="3022"/>
      </w:tblGrid>
      <w:tr w14:paraId="6EE4D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19" w:type="dxa"/>
            <w:noWrap w:val="0"/>
            <w:vAlign w:val="top"/>
          </w:tcPr>
          <w:p w14:paraId="098A5584">
            <w:pPr>
              <w:tabs>
                <w:tab w:val="center" w:pos="4475"/>
              </w:tabs>
              <w:spacing w:line="560" w:lineRule="exact"/>
              <w:jc w:val="center"/>
              <w:rPr>
                <w:rFonts w:hint="default" w:ascii="Times New Roman" w:hAnsi="Times New Roman" w:eastAsia="仿宋_GB2312" w:cs="Times New Roman"/>
                <w:b/>
                <w:bCs/>
                <w:szCs w:val="32"/>
                <w:vertAlign w:val="baseline"/>
                <w:lang w:eastAsia="zh-CN"/>
              </w:rPr>
            </w:pPr>
            <w:r>
              <w:rPr>
                <w:rFonts w:hint="default" w:ascii="Times New Roman" w:hAnsi="Times New Roman" w:eastAsia="仿宋_GB2312" w:cs="Times New Roman"/>
                <w:b/>
                <w:bCs/>
                <w:szCs w:val="32"/>
                <w:vertAlign w:val="baseline"/>
                <w:lang w:eastAsia="zh-CN"/>
              </w:rPr>
              <w:t>项目名称</w:t>
            </w:r>
          </w:p>
        </w:tc>
        <w:tc>
          <w:tcPr>
            <w:tcW w:w="3020" w:type="dxa"/>
            <w:noWrap w:val="0"/>
            <w:vAlign w:val="top"/>
          </w:tcPr>
          <w:p w14:paraId="042191DD">
            <w:pPr>
              <w:tabs>
                <w:tab w:val="center" w:pos="4475"/>
              </w:tabs>
              <w:spacing w:line="560" w:lineRule="exact"/>
              <w:jc w:val="center"/>
              <w:rPr>
                <w:rFonts w:hint="default" w:ascii="Times New Roman" w:hAnsi="Times New Roman" w:eastAsia="仿宋_GB2312" w:cs="Times New Roman"/>
                <w:b/>
                <w:bCs/>
                <w:szCs w:val="32"/>
                <w:vertAlign w:val="baseline"/>
                <w:lang w:eastAsia="zh-CN"/>
              </w:rPr>
            </w:pPr>
            <w:r>
              <w:rPr>
                <w:rFonts w:hint="default" w:ascii="Times New Roman" w:hAnsi="Times New Roman" w:eastAsia="仿宋_GB2312" w:cs="Times New Roman"/>
                <w:b/>
                <w:bCs/>
                <w:szCs w:val="32"/>
                <w:vertAlign w:val="baseline"/>
                <w:lang w:eastAsia="zh-CN"/>
              </w:rPr>
              <w:t>预算数（单位：万元）</w:t>
            </w:r>
          </w:p>
        </w:tc>
        <w:tc>
          <w:tcPr>
            <w:tcW w:w="3022" w:type="dxa"/>
            <w:noWrap w:val="0"/>
            <w:vAlign w:val="top"/>
          </w:tcPr>
          <w:p w14:paraId="25BC5862">
            <w:pPr>
              <w:tabs>
                <w:tab w:val="center" w:pos="4475"/>
              </w:tabs>
              <w:spacing w:line="560" w:lineRule="exact"/>
              <w:jc w:val="center"/>
              <w:rPr>
                <w:rFonts w:hint="default" w:ascii="Times New Roman" w:hAnsi="Times New Roman" w:eastAsia="仿宋_GB2312" w:cs="Times New Roman"/>
                <w:b/>
                <w:bCs/>
                <w:szCs w:val="32"/>
                <w:vertAlign w:val="baseline"/>
                <w:lang w:eastAsia="zh-CN"/>
              </w:rPr>
            </w:pPr>
            <w:r>
              <w:rPr>
                <w:rFonts w:hint="default" w:ascii="Times New Roman" w:hAnsi="Times New Roman" w:eastAsia="仿宋_GB2312" w:cs="Times New Roman"/>
                <w:b/>
                <w:bCs/>
                <w:szCs w:val="32"/>
                <w:vertAlign w:val="baseline"/>
                <w:lang w:eastAsia="zh-CN"/>
              </w:rPr>
              <w:t>绩效目标</w:t>
            </w:r>
          </w:p>
        </w:tc>
      </w:tr>
      <w:tr w14:paraId="7403B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19" w:type="dxa"/>
            <w:shd w:val="clear" w:color="auto" w:fill="auto"/>
            <w:noWrap w:val="0"/>
            <w:vAlign w:val="center"/>
          </w:tcPr>
          <w:p w14:paraId="7099B3F0">
            <w:pPr>
              <w:keepNext w:val="0"/>
              <w:keepLines w:val="0"/>
              <w:widowControl/>
              <w:suppressLineNumbers w:val="0"/>
              <w:tabs>
                <w:tab w:val="center" w:pos="4475"/>
              </w:tabs>
              <w:spacing w:line="560" w:lineRule="exact"/>
              <w:jc w:val="left"/>
              <w:textAlignment w:val="auto"/>
              <w:rPr>
                <w:rFonts w:hint="default" w:ascii="宋体" w:hAnsi="宋体" w:eastAsia="宋体" w:cs="宋体"/>
                <w:i w:val="0"/>
                <w:iCs w:val="0"/>
                <w:color w:val="000000"/>
                <w:kern w:val="2"/>
                <w:sz w:val="18"/>
                <w:szCs w:val="18"/>
                <w:u w:val="none"/>
                <w:lang w:val="en-US" w:eastAsia="zh-CN" w:bidi="ar-SA"/>
              </w:rPr>
            </w:pPr>
            <w:r>
              <w:rPr>
                <w:rFonts w:hint="eastAsia" w:ascii="Times New Roman" w:hAnsi="Times New Roman" w:eastAsia="仿宋_GB2312" w:cs="Times New Roman"/>
                <w:i w:val="0"/>
                <w:iCs w:val="0"/>
                <w:color w:val="000000"/>
                <w:kern w:val="2"/>
                <w:sz w:val="32"/>
                <w:szCs w:val="32"/>
                <w:u w:val="none"/>
                <w:lang w:val="en-US" w:eastAsia="zh-CN" w:bidi="ar"/>
              </w:rPr>
              <w:t>中央财政医疗服务与保障能力提升补助资金—医保经办服务经费</w:t>
            </w:r>
          </w:p>
        </w:tc>
        <w:tc>
          <w:tcPr>
            <w:tcW w:w="3020" w:type="dxa"/>
            <w:noWrap w:val="0"/>
            <w:vAlign w:val="center"/>
          </w:tcPr>
          <w:p w14:paraId="19A69D20">
            <w:pPr>
              <w:tabs>
                <w:tab w:val="center" w:pos="4475"/>
              </w:tabs>
              <w:spacing w:line="560" w:lineRule="exact"/>
              <w:ind w:firstLine="645"/>
              <w:jc w:val="center"/>
              <w:rPr>
                <w:rFonts w:hint="default" w:ascii="Times New Roman" w:hAnsi="Times New Roman" w:eastAsia="仿宋_GB2312" w:cs="Times New Roman"/>
                <w:szCs w:val="32"/>
                <w:vertAlign w:val="baseline"/>
                <w:lang w:val="en-US"/>
              </w:rPr>
            </w:pPr>
            <w:r>
              <w:rPr>
                <w:rFonts w:hint="eastAsia" w:cs="Times New Roman"/>
                <w:szCs w:val="32"/>
                <w:vertAlign w:val="baseline"/>
                <w:lang w:val="en-US" w:eastAsia="zh-CN"/>
              </w:rPr>
              <w:t>270</w:t>
            </w:r>
          </w:p>
        </w:tc>
        <w:tc>
          <w:tcPr>
            <w:tcW w:w="3022" w:type="dxa"/>
            <w:shd w:val="clear" w:color="auto" w:fill="auto"/>
            <w:noWrap w:val="0"/>
            <w:vAlign w:val="center"/>
          </w:tcPr>
          <w:p w14:paraId="1EB278D3">
            <w:pPr>
              <w:keepNext w:val="0"/>
              <w:keepLines w:val="0"/>
              <w:widowControl/>
              <w:suppressLineNumbers w:val="0"/>
              <w:tabs>
                <w:tab w:val="center" w:pos="4475"/>
              </w:tabs>
              <w:spacing w:line="560" w:lineRule="exact"/>
              <w:jc w:val="left"/>
              <w:textAlignment w:val="auto"/>
              <w:rPr>
                <w:rFonts w:hint="default" w:ascii="宋体" w:hAnsi="宋体" w:eastAsia="宋体" w:cs="宋体"/>
                <w:i w:val="0"/>
                <w:iCs w:val="0"/>
                <w:color w:val="000000"/>
                <w:kern w:val="2"/>
                <w:sz w:val="18"/>
                <w:szCs w:val="18"/>
                <w:u w:val="none"/>
                <w:lang w:val="en-US" w:eastAsia="zh-CN" w:bidi="ar-SA"/>
              </w:rPr>
            </w:pPr>
            <w:r>
              <w:rPr>
                <w:rFonts w:hint="eastAsia" w:ascii="Times New Roman" w:hAnsi="Times New Roman" w:eastAsia="仿宋_GB2312" w:cs="Times New Roman"/>
                <w:i w:val="0"/>
                <w:iCs w:val="0"/>
                <w:color w:val="000000"/>
                <w:kern w:val="2"/>
                <w:sz w:val="32"/>
                <w:szCs w:val="32"/>
                <w:u w:val="none"/>
                <w:lang w:val="en-US" w:eastAsia="zh-CN" w:bidi="ar"/>
              </w:rPr>
              <w:t>有效提升医保信息化标准化、基金监管、经办管理、目录监管水平，推进医保支付方式、药品和医用耗材集中带量采购、医疗服务价格等改革任务。</w:t>
            </w:r>
          </w:p>
        </w:tc>
      </w:tr>
    </w:tbl>
    <w:p w14:paraId="224A963D">
      <w:pPr>
        <w:tabs>
          <w:tab w:val="center" w:pos="4475"/>
        </w:tabs>
        <w:spacing w:line="560" w:lineRule="exact"/>
        <w:ind w:firstLine="0"/>
        <w:rPr>
          <w:rFonts w:hint="default" w:ascii="Times New Roman" w:eastAsia="黑体"/>
          <w:szCs w:val="32"/>
        </w:rPr>
      </w:pPr>
    </w:p>
    <w:p w14:paraId="0CE86E5F">
      <w:pPr>
        <w:tabs>
          <w:tab w:val="center" w:pos="4475"/>
        </w:tabs>
        <w:spacing w:line="560" w:lineRule="exact"/>
        <w:ind w:firstLine="645"/>
        <w:rPr>
          <w:rFonts w:hint="default" w:ascii="Times New Roman" w:eastAsia="黑体"/>
          <w:szCs w:val="32"/>
        </w:rPr>
      </w:pPr>
      <w:r>
        <w:rPr>
          <w:rFonts w:hint="default" w:ascii="Times New Roman" w:eastAsia="黑体"/>
          <w:szCs w:val="32"/>
        </w:rPr>
        <w:t>第三部分：名词解释</w:t>
      </w:r>
    </w:p>
    <w:p w14:paraId="13BEF888">
      <w:pPr>
        <w:spacing w:line="560" w:lineRule="exact"/>
        <w:ind w:firstLine="640"/>
        <w:rPr>
          <w:rFonts w:hint="default" w:ascii="Times New Roman"/>
          <w:szCs w:val="32"/>
          <w:highlight w:val="none"/>
        </w:rPr>
      </w:pPr>
      <w:r>
        <w:rPr>
          <w:rFonts w:hint="default" w:ascii="Times New Roman"/>
          <w:szCs w:val="32"/>
          <w:highlight w:val="none"/>
        </w:rPr>
        <w:t>一、财政拨款收入：指</w:t>
      </w:r>
      <w:r>
        <w:rPr>
          <w:rFonts w:hint="default" w:ascii="Times New Roman"/>
          <w:szCs w:val="32"/>
          <w:highlight w:val="none"/>
          <w:lang w:eastAsia="zh-CN"/>
        </w:rPr>
        <w:t>本年度从本级财政单位取得的财政拨款，包括一般公共预算财政拨款、政府性基金预算财政拨款和国有资本经营预算财政拨款。</w:t>
      </w:r>
      <w:r>
        <w:rPr>
          <w:rFonts w:hint="default" w:ascii="Times New Roman"/>
          <w:szCs w:val="32"/>
          <w:highlight w:val="none"/>
        </w:rPr>
        <w:t xml:space="preserve"> </w:t>
      </w:r>
    </w:p>
    <w:p w14:paraId="45B4BD93">
      <w:pPr>
        <w:spacing w:line="560" w:lineRule="exact"/>
        <w:ind w:firstLine="654" w:firstLineChars="200"/>
        <w:rPr>
          <w:rFonts w:hint="default" w:ascii="Times New Roman"/>
          <w:szCs w:val="32"/>
          <w:highlight w:val="none"/>
        </w:rPr>
      </w:pPr>
      <w:r>
        <w:rPr>
          <w:rFonts w:hint="default" w:ascii="Times New Roman"/>
          <w:szCs w:val="32"/>
          <w:highlight w:val="none"/>
        </w:rPr>
        <w:t>二、事业收入：指事业单位开展专业业务活动及辅助活动所取得的收入。</w:t>
      </w:r>
    </w:p>
    <w:p w14:paraId="35EBD510">
      <w:pPr>
        <w:spacing w:line="560" w:lineRule="exact"/>
        <w:ind w:firstLine="654" w:firstLineChars="200"/>
        <w:rPr>
          <w:rFonts w:hint="default" w:ascii="Times New Roman"/>
          <w:szCs w:val="32"/>
          <w:highlight w:val="none"/>
        </w:rPr>
      </w:pPr>
      <w:r>
        <w:rPr>
          <w:rFonts w:hint="default" w:ascii="Times New Roman"/>
          <w:szCs w:val="32"/>
          <w:highlight w:val="none"/>
        </w:rPr>
        <w:t>三、经营收入：指事业单位在专业业务活动及其辅助活动之外开展非独立核算经营活动取得的收入。</w:t>
      </w:r>
    </w:p>
    <w:p w14:paraId="78880B67">
      <w:pPr>
        <w:spacing w:line="560" w:lineRule="exact"/>
        <w:ind w:firstLine="640"/>
        <w:rPr>
          <w:rFonts w:hint="default" w:ascii="Times New Roman"/>
          <w:szCs w:val="32"/>
          <w:highlight w:val="none"/>
        </w:rPr>
      </w:pPr>
      <w:r>
        <w:rPr>
          <w:rFonts w:hint="default" w:ascii="Times New Roman"/>
          <w:szCs w:val="32"/>
          <w:highlight w:val="none"/>
        </w:rPr>
        <w:t>四、其他收入：指除上述“财政拨款收入”、“事业收入”、“经营收入”等以外的收入。</w:t>
      </w:r>
    </w:p>
    <w:p w14:paraId="69AC780F">
      <w:pPr>
        <w:spacing w:line="560" w:lineRule="exact"/>
        <w:ind w:firstLine="654" w:firstLineChars="200"/>
        <w:rPr>
          <w:rFonts w:hint="default" w:ascii="Times New Roman"/>
          <w:szCs w:val="32"/>
          <w:highlight w:val="none"/>
        </w:rPr>
      </w:pPr>
      <w:r>
        <w:rPr>
          <w:rFonts w:hint="default" w:ascii="Times New Roman"/>
          <w:szCs w:val="32"/>
          <w:highlight w:val="none"/>
        </w:rPr>
        <w:t xml:space="preserve">五、基本支出：指为保障机构正常运转、完成日常工作任务而发生的人员支出和公用支出。 </w:t>
      </w:r>
    </w:p>
    <w:p w14:paraId="06DFF657">
      <w:pPr>
        <w:spacing w:line="560" w:lineRule="exact"/>
        <w:ind w:firstLine="654" w:firstLineChars="200"/>
        <w:rPr>
          <w:rFonts w:hint="default" w:ascii="Times New Roman"/>
          <w:szCs w:val="32"/>
          <w:highlight w:val="none"/>
        </w:rPr>
      </w:pPr>
      <w:r>
        <w:rPr>
          <w:rFonts w:hint="default" w:ascii="Times New Roman"/>
          <w:szCs w:val="32"/>
          <w:highlight w:val="none"/>
        </w:rPr>
        <w:t xml:space="preserve">六、项目支出：指在基本支出之外为完成特定行政任务和事业发展目标所发生的支出。 </w:t>
      </w:r>
    </w:p>
    <w:p w14:paraId="291030BC">
      <w:pPr>
        <w:spacing w:line="560" w:lineRule="exact"/>
        <w:ind w:firstLine="640"/>
        <w:rPr>
          <w:rFonts w:hint="default" w:ascii="Times New Roman"/>
          <w:szCs w:val="32"/>
          <w:highlight w:val="none"/>
        </w:rPr>
      </w:pPr>
      <w:r>
        <w:rPr>
          <w:rFonts w:hint="default" w:ascii="Times New Roman"/>
          <w:szCs w:val="32"/>
          <w:highlight w:val="none"/>
        </w:rPr>
        <w:t>七、经营支出：指事业单位在专业业务活动及其辅助活动之外开展非独立核算经营活动发生的支出。</w:t>
      </w:r>
    </w:p>
    <w:p w14:paraId="728C4EAC">
      <w:pPr>
        <w:spacing w:line="560" w:lineRule="exact"/>
        <w:ind w:firstLine="654" w:firstLineChars="200"/>
        <w:rPr>
          <w:rFonts w:hint="default" w:ascii="Times New Roman"/>
          <w:szCs w:val="32"/>
          <w:highlight w:val="none"/>
        </w:rPr>
      </w:pPr>
      <w:r>
        <w:rPr>
          <w:rFonts w:hint="default" w:ascii="Times New Roman"/>
          <w:szCs w:val="32"/>
          <w:highlight w:val="none"/>
        </w:rPr>
        <w:t>八、“三公”经费：纳入市直财政预决算管理的“三公”经费，是指市直各部门/单位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14:paraId="2BC9125D">
      <w:pPr>
        <w:tabs>
          <w:tab w:val="center" w:pos="4475"/>
        </w:tabs>
        <w:spacing w:line="560" w:lineRule="exact"/>
        <w:ind w:firstLine="645"/>
        <w:rPr>
          <w:rFonts w:hint="default" w:ascii="Times New Roman" w:eastAsia="黑体"/>
          <w:szCs w:val="32"/>
          <w:highlight w:val="none"/>
        </w:rPr>
      </w:pPr>
      <w:r>
        <w:rPr>
          <w:rFonts w:hint="eastAsia"/>
          <w:highlight w:val="none"/>
        </w:rPr>
        <w:t>九、</w:t>
      </w:r>
      <w:r>
        <w:rPr>
          <w:rFonts w:hint="eastAsia"/>
          <w:highlight w:val="none"/>
          <w:lang w:eastAsia="zh-CN"/>
        </w:rPr>
        <w:t>事业</w:t>
      </w:r>
      <w:r>
        <w:rPr>
          <w:rFonts w:hint="eastAsia"/>
          <w:highlight w:val="none"/>
        </w:rPr>
        <w:t>运行经费：为保障</w:t>
      </w:r>
      <w:r>
        <w:rPr>
          <w:rFonts w:hint="eastAsia"/>
          <w:highlight w:val="none"/>
          <w:lang w:eastAsia="zh-CN"/>
        </w:rPr>
        <w:t>事业</w:t>
      </w:r>
      <w:r>
        <w:rPr>
          <w:rFonts w:hint="eastAsia"/>
          <w:highlight w:val="none"/>
        </w:rPr>
        <w:t>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7387B3BE">
      <w:pPr>
        <w:tabs>
          <w:tab w:val="center" w:pos="4475"/>
        </w:tabs>
        <w:spacing w:line="560" w:lineRule="exact"/>
        <w:ind w:firstLine="645"/>
        <w:rPr>
          <w:rFonts w:hint="default" w:ascii="Times New Roman" w:eastAsia="黑体"/>
          <w:szCs w:val="32"/>
        </w:rPr>
      </w:pPr>
    </w:p>
    <w:p w14:paraId="4ABD537C">
      <w:pPr>
        <w:tabs>
          <w:tab w:val="center" w:pos="4475"/>
        </w:tabs>
        <w:spacing w:line="560" w:lineRule="exact"/>
        <w:ind w:firstLine="645"/>
        <w:rPr>
          <w:rFonts w:hint="default" w:ascii="Times New Roman" w:eastAsia="黑体"/>
          <w:szCs w:val="32"/>
        </w:rPr>
      </w:pPr>
      <w:r>
        <w:rPr>
          <w:rFonts w:hint="default" w:ascii="Times New Roman" w:eastAsia="黑体"/>
          <w:szCs w:val="32"/>
        </w:rPr>
        <w:t>第四部分：</w:t>
      </w:r>
      <w:r>
        <w:rPr>
          <w:rFonts w:hint="eastAsia" w:eastAsia="黑体"/>
          <w:szCs w:val="32"/>
          <w:lang w:eastAsia="zh-CN"/>
        </w:rPr>
        <w:t>玉林市医疗保障服务中心</w:t>
      </w:r>
      <w:r>
        <w:rPr>
          <w:rFonts w:hint="default" w:ascii="Times New Roman" w:hAnsi="Times New Roman" w:eastAsia="黑体"/>
          <w:szCs w:val="32"/>
        </w:rPr>
        <w:t>202</w:t>
      </w:r>
      <w:r>
        <w:rPr>
          <w:rFonts w:hint="eastAsia" w:eastAsia="黑体"/>
          <w:szCs w:val="32"/>
          <w:lang w:val="en-US" w:eastAsia="zh-CN"/>
        </w:rPr>
        <w:t>6</w:t>
      </w:r>
      <w:r>
        <w:rPr>
          <w:rFonts w:hint="default" w:ascii="Times New Roman" w:hAnsi="Times New Roman" w:eastAsia="黑体"/>
          <w:szCs w:val="32"/>
        </w:rPr>
        <w:t>年</w:t>
      </w:r>
      <w:r>
        <w:rPr>
          <w:rFonts w:hint="default" w:ascii="Times New Roman" w:eastAsia="黑体"/>
          <w:szCs w:val="32"/>
        </w:rPr>
        <w:t>部门预算报表</w:t>
      </w:r>
    </w:p>
    <w:p w14:paraId="444A3F88">
      <w:pPr>
        <w:tabs>
          <w:tab w:val="center" w:pos="4475"/>
        </w:tabs>
        <w:spacing w:line="560" w:lineRule="exact"/>
        <w:ind w:firstLine="645"/>
        <w:rPr>
          <w:rFonts w:hint="eastAsia"/>
          <w:highlight w:val="none"/>
        </w:rPr>
      </w:pPr>
      <w:r>
        <w:rPr>
          <w:rFonts w:hint="eastAsia"/>
          <w:highlight w:val="none"/>
        </w:rPr>
        <w:t xml:space="preserve">一、表1 </w:t>
      </w:r>
      <w:r>
        <w:rPr>
          <w:rFonts w:hint="eastAsia"/>
          <w:highlight w:val="none"/>
          <w:lang w:eastAsia="zh-CN"/>
        </w:rPr>
        <w:t>部门</w:t>
      </w:r>
      <w:r>
        <w:rPr>
          <w:rFonts w:hint="eastAsia"/>
          <w:highlight w:val="none"/>
        </w:rPr>
        <w:t>收支总体情况表</w:t>
      </w:r>
    </w:p>
    <w:p w14:paraId="6841C1F5">
      <w:pPr>
        <w:tabs>
          <w:tab w:val="center" w:pos="4475"/>
        </w:tabs>
        <w:spacing w:line="560" w:lineRule="exact"/>
        <w:ind w:firstLine="645"/>
        <w:rPr>
          <w:rFonts w:hint="eastAsia"/>
          <w:highlight w:val="none"/>
        </w:rPr>
      </w:pPr>
      <w:r>
        <w:rPr>
          <w:rFonts w:hint="eastAsia"/>
          <w:highlight w:val="none"/>
        </w:rPr>
        <w:t xml:space="preserve">二、表2 </w:t>
      </w:r>
      <w:r>
        <w:rPr>
          <w:rFonts w:hint="eastAsia"/>
          <w:highlight w:val="none"/>
          <w:lang w:eastAsia="zh-CN"/>
        </w:rPr>
        <w:t>部门</w:t>
      </w:r>
      <w:r>
        <w:rPr>
          <w:rFonts w:hint="eastAsia"/>
          <w:highlight w:val="none"/>
        </w:rPr>
        <w:t>收入总体情况表</w:t>
      </w:r>
    </w:p>
    <w:p w14:paraId="04A94F5A">
      <w:pPr>
        <w:tabs>
          <w:tab w:val="center" w:pos="4475"/>
        </w:tabs>
        <w:spacing w:line="560" w:lineRule="exact"/>
        <w:ind w:firstLine="645"/>
        <w:rPr>
          <w:rFonts w:hint="eastAsia"/>
          <w:highlight w:val="none"/>
        </w:rPr>
      </w:pPr>
      <w:r>
        <w:rPr>
          <w:rFonts w:hint="eastAsia"/>
          <w:highlight w:val="none"/>
        </w:rPr>
        <w:t xml:space="preserve">三、表3 </w:t>
      </w:r>
      <w:r>
        <w:rPr>
          <w:rFonts w:hint="eastAsia"/>
          <w:highlight w:val="none"/>
          <w:lang w:eastAsia="zh-CN"/>
        </w:rPr>
        <w:t>部门</w:t>
      </w:r>
      <w:r>
        <w:rPr>
          <w:rFonts w:hint="eastAsia"/>
          <w:highlight w:val="none"/>
        </w:rPr>
        <w:t>支出总体情况表</w:t>
      </w:r>
    </w:p>
    <w:p w14:paraId="5FF94BC2">
      <w:pPr>
        <w:tabs>
          <w:tab w:val="center" w:pos="4475"/>
        </w:tabs>
        <w:spacing w:line="560" w:lineRule="exact"/>
        <w:ind w:firstLine="645"/>
        <w:rPr>
          <w:rFonts w:hint="eastAsia"/>
          <w:highlight w:val="none"/>
        </w:rPr>
      </w:pPr>
      <w:r>
        <w:rPr>
          <w:rFonts w:hint="eastAsia"/>
          <w:highlight w:val="none"/>
        </w:rPr>
        <w:t>四、表4 财政拨款收支总体情况表</w:t>
      </w:r>
    </w:p>
    <w:p w14:paraId="5F27AF20">
      <w:pPr>
        <w:tabs>
          <w:tab w:val="center" w:pos="4475"/>
        </w:tabs>
        <w:spacing w:line="560" w:lineRule="exact"/>
        <w:ind w:firstLine="645"/>
        <w:rPr>
          <w:rFonts w:hint="eastAsia"/>
          <w:highlight w:val="none"/>
        </w:rPr>
      </w:pPr>
      <w:r>
        <w:rPr>
          <w:rFonts w:hint="eastAsia"/>
          <w:highlight w:val="none"/>
        </w:rPr>
        <w:t>五、表5 一般公共预算支出情况表</w:t>
      </w:r>
    </w:p>
    <w:p w14:paraId="722C37A3">
      <w:pPr>
        <w:tabs>
          <w:tab w:val="center" w:pos="4475"/>
        </w:tabs>
        <w:spacing w:line="560" w:lineRule="exact"/>
        <w:ind w:firstLine="645"/>
        <w:rPr>
          <w:rFonts w:hint="eastAsia"/>
          <w:highlight w:val="none"/>
        </w:rPr>
      </w:pPr>
      <w:r>
        <w:rPr>
          <w:rFonts w:hint="eastAsia"/>
          <w:highlight w:val="none"/>
        </w:rPr>
        <w:t>六、表6 一般公共预算基本支出情况表</w:t>
      </w:r>
    </w:p>
    <w:p w14:paraId="27E44AFD">
      <w:pPr>
        <w:tabs>
          <w:tab w:val="center" w:pos="4475"/>
        </w:tabs>
        <w:spacing w:line="560" w:lineRule="exact"/>
        <w:ind w:firstLine="645"/>
        <w:rPr>
          <w:rFonts w:hint="eastAsia"/>
          <w:highlight w:val="none"/>
        </w:rPr>
      </w:pPr>
      <w:r>
        <w:rPr>
          <w:rFonts w:hint="eastAsia"/>
          <w:highlight w:val="none"/>
        </w:rPr>
        <w:t>七、表7 财政拨款“三公”经费、会议费和培训费</w:t>
      </w:r>
    </w:p>
    <w:p w14:paraId="0E6546A8">
      <w:pPr>
        <w:tabs>
          <w:tab w:val="center" w:pos="4475"/>
        </w:tabs>
        <w:spacing w:line="560" w:lineRule="exact"/>
        <w:ind w:firstLine="645"/>
        <w:rPr>
          <w:rFonts w:hint="eastAsia"/>
          <w:highlight w:val="none"/>
        </w:rPr>
      </w:pPr>
      <w:r>
        <w:rPr>
          <w:rFonts w:hint="eastAsia"/>
          <w:highlight w:val="none"/>
        </w:rPr>
        <w:t>八、表8 政府性基金预算支出情况表</w:t>
      </w:r>
    </w:p>
    <w:p w14:paraId="3BE5F3B4">
      <w:pPr>
        <w:tabs>
          <w:tab w:val="center" w:pos="4475"/>
        </w:tabs>
        <w:spacing w:line="560" w:lineRule="exact"/>
        <w:ind w:firstLine="645"/>
        <w:rPr>
          <w:rFonts w:hint="eastAsia"/>
          <w:highlight w:val="none"/>
        </w:rPr>
      </w:pPr>
      <w:r>
        <w:rPr>
          <w:rFonts w:hint="eastAsia"/>
          <w:highlight w:val="none"/>
        </w:rPr>
        <w:t>九、表9 国有资本经营预算支出情况表</w:t>
      </w:r>
    </w:p>
    <w:p w14:paraId="13B58435">
      <w:pPr>
        <w:tabs>
          <w:tab w:val="center" w:pos="4475"/>
        </w:tabs>
        <w:spacing w:line="560" w:lineRule="exact"/>
        <w:ind w:firstLine="645"/>
        <w:rPr>
          <w:rFonts w:hint="eastAsia"/>
          <w:highlight w:val="none"/>
        </w:rPr>
      </w:pPr>
      <w:r>
        <w:rPr>
          <w:rFonts w:hint="eastAsia"/>
          <w:highlight w:val="none"/>
        </w:rPr>
        <w:t>十、表10 项目绩效目标公开表</w:t>
      </w:r>
    </w:p>
    <w:p w14:paraId="6AD7DE7E">
      <w:pPr>
        <w:tabs>
          <w:tab w:val="center" w:pos="4475"/>
        </w:tabs>
        <w:spacing w:line="560" w:lineRule="exact"/>
        <w:ind w:firstLine="645"/>
        <w:rPr>
          <w:rFonts w:hint="eastAsia"/>
          <w:highlight w:val="none"/>
        </w:rPr>
      </w:pPr>
      <w:r>
        <w:rPr>
          <w:rFonts w:hint="eastAsia"/>
          <w:highlight w:val="none"/>
        </w:rPr>
        <w:t>十一、表11 对下转移支付项目绩效目标公开表</w:t>
      </w:r>
    </w:p>
    <w:p w14:paraId="68C2AFBF">
      <w:pPr>
        <w:tabs>
          <w:tab w:val="center" w:pos="4475"/>
        </w:tabs>
        <w:spacing w:line="560" w:lineRule="exact"/>
        <w:ind w:firstLine="645"/>
        <w:rPr>
          <w:rFonts w:hint="eastAsia"/>
          <w:highlight w:val="none"/>
        </w:rPr>
      </w:pPr>
      <w:r>
        <w:rPr>
          <w:rFonts w:hint="eastAsia"/>
          <w:highlight w:val="none"/>
        </w:rPr>
        <w:t>上述报表详见附件。</w:t>
      </w:r>
    </w:p>
    <w:p w14:paraId="32B4D902">
      <w:pPr>
        <w:tabs>
          <w:tab w:val="center" w:pos="4475"/>
        </w:tabs>
        <w:spacing w:line="560" w:lineRule="exact"/>
        <w:ind w:firstLine="645"/>
        <w:rPr>
          <w:rFonts w:hint="eastAsia"/>
          <w:highlight w:val="none"/>
        </w:rPr>
      </w:pPr>
    </w:p>
    <w:sectPr>
      <w:footerReference r:id="rId3" w:type="default"/>
      <w:footerReference r:id="rId4" w:type="even"/>
      <w:pgSz w:w="11906" w:h="16838"/>
      <w:pgMar w:top="2098" w:right="1474" w:bottom="1984" w:left="1587" w:header="851" w:footer="992" w:gutter="0"/>
      <w:pgNumType w:fmt="decimal" w:start="1"/>
      <w:cols w:space="720" w:num="1"/>
      <w:rtlGutter w:val="0"/>
      <w:docGrid w:type="linesAndChars" w:linePitch="607" w:charSpace="15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3F4D47">
    <w:pPr>
      <w:pStyle w:val="2"/>
      <w:tabs>
        <w:tab w:val="left" w:pos="616"/>
        <w:tab w:val="clear" w:pos="4153"/>
      </w:tabs>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B6AB8F">
                          <w:pPr>
                            <w:pStyle w:val="2"/>
                          </w:pPr>
                          <w:r>
                            <w:fldChar w:fldCharType="begin"/>
                          </w:r>
                          <w:r>
                            <w:instrText xml:space="preserve"> PAGE  \* MERGEFORMAT </w:instrText>
                          </w:r>
                          <w:r>
                            <w:fldChar w:fldCharType="separate"/>
                          </w:r>
                          <w:r>
                            <w:t>19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59B6AB8F">
                    <w:pPr>
                      <w:pStyle w:val="2"/>
                    </w:pPr>
                    <w:r>
                      <w:fldChar w:fldCharType="begin"/>
                    </w:r>
                    <w:r>
                      <w:instrText xml:space="preserve"> PAGE  \* MERGEFORMAT </w:instrText>
                    </w:r>
                    <w:r>
                      <w:fldChar w:fldCharType="separate"/>
                    </w:r>
                    <w:r>
                      <w:t>19</w:t>
                    </w:r>
                    <w:r>
                      <w:fldChar w:fldCharType="end"/>
                    </w:r>
                  </w:p>
                </w:txbxContent>
              </v:textbox>
            </v:shape>
          </w:pict>
        </mc:Fallback>
      </mc:AlternateContent>
    </w:r>
    <w:r>
      <w:rPr>
        <w:rFonts w:hint="eastAsia"/>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63546D">
    <w:pPr>
      <w:pStyle w:val="2"/>
      <w:framePr w:wrap="around" w:vAnchor="text" w:hAnchor="margin" w:xAlign="center" w:y="1"/>
      <w:rPr>
        <w:rStyle w:val="9"/>
      </w:rPr>
    </w:pPr>
    <w:r>
      <w:fldChar w:fldCharType="begin"/>
    </w:r>
    <w:r>
      <w:rPr>
        <w:rStyle w:val="9"/>
      </w:rPr>
      <w:instrText xml:space="preserve">PAGE  </w:instrText>
    </w:r>
    <w:r>
      <w:fldChar w:fldCharType="end"/>
    </w:r>
  </w:p>
  <w:p w14:paraId="1003EC4F">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278241B"/>
    <w:multiLevelType w:val="singleLevel"/>
    <w:tmpl w:val="D278241B"/>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C603FA"/>
    <w:rsid w:val="01583748"/>
    <w:rsid w:val="01BA0DA0"/>
    <w:rsid w:val="02922C89"/>
    <w:rsid w:val="02E5725D"/>
    <w:rsid w:val="034D6BB0"/>
    <w:rsid w:val="044E20D8"/>
    <w:rsid w:val="047C599F"/>
    <w:rsid w:val="051E0804"/>
    <w:rsid w:val="05340028"/>
    <w:rsid w:val="0758565F"/>
    <w:rsid w:val="07A11279"/>
    <w:rsid w:val="099F7A3A"/>
    <w:rsid w:val="0A7669ED"/>
    <w:rsid w:val="0BEA58E4"/>
    <w:rsid w:val="0DC2451A"/>
    <w:rsid w:val="0E0130FC"/>
    <w:rsid w:val="0E341099"/>
    <w:rsid w:val="1101750B"/>
    <w:rsid w:val="11371E0C"/>
    <w:rsid w:val="120A31AF"/>
    <w:rsid w:val="120E6429"/>
    <w:rsid w:val="152D05F0"/>
    <w:rsid w:val="187529D9"/>
    <w:rsid w:val="18FA2EDF"/>
    <w:rsid w:val="19EE47F1"/>
    <w:rsid w:val="1A8C7B66"/>
    <w:rsid w:val="1AC10F5C"/>
    <w:rsid w:val="1CA67605"/>
    <w:rsid w:val="1E4D585F"/>
    <w:rsid w:val="1E566E09"/>
    <w:rsid w:val="1F085824"/>
    <w:rsid w:val="20224A6E"/>
    <w:rsid w:val="207215AC"/>
    <w:rsid w:val="2093753B"/>
    <w:rsid w:val="213D7E0C"/>
    <w:rsid w:val="21E6657A"/>
    <w:rsid w:val="24903E7E"/>
    <w:rsid w:val="2500187D"/>
    <w:rsid w:val="26C1503C"/>
    <w:rsid w:val="270C4509"/>
    <w:rsid w:val="286613ED"/>
    <w:rsid w:val="2944442E"/>
    <w:rsid w:val="29804FB8"/>
    <w:rsid w:val="2A07200A"/>
    <w:rsid w:val="2AEB2519"/>
    <w:rsid w:val="2CBF5B79"/>
    <w:rsid w:val="2D6230D5"/>
    <w:rsid w:val="2E157848"/>
    <w:rsid w:val="2E304F81"/>
    <w:rsid w:val="2E6B52CE"/>
    <w:rsid w:val="2F5D364E"/>
    <w:rsid w:val="30152D2F"/>
    <w:rsid w:val="303447E8"/>
    <w:rsid w:val="350A0719"/>
    <w:rsid w:val="36A007CA"/>
    <w:rsid w:val="36FD79CA"/>
    <w:rsid w:val="38201FA8"/>
    <w:rsid w:val="39144F66"/>
    <w:rsid w:val="3AA629F9"/>
    <w:rsid w:val="3B301A1C"/>
    <w:rsid w:val="3BB75988"/>
    <w:rsid w:val="3BBC0A63"/>
    <w:rsid w:val="3C1A2DCC"/>
    <w:rsid w:val="3D36127C"/>
    <w:rsid w:val="3DEC26E0"/>
    <w:rsid w:val="3EC6723B"/>
    <w:rsid w:val="3FEB51AC"/>
    <w:rsid w:val="425863FC"/>
    <w:rsid w:val="43EA2D93"/>
    <w:rsid w:val="43F565F9"/>
    <w:rsid w:val="442B0251"/>
    <w:rsid w:val="44586B88"/>
    <w:rsid w:val="45A73923"/>
    <w:rsid w:val="45D93CF8"/>
    <w:rsid w:val="461E170B"/>
    <w:rsid w:val="46C40504"/>
    <w:rsid w:val="479D5F50"/>
    <w:rsid w:val="48FB5D0B"/>
    <w:rsid w:val="496D6699"/>
    <w:rsid w:val="498334B4"/>
    <w:rsid w:val="49CE6208"/>
    <w:rsid w:val="4BC7145D"/>
    <w:rsid w:val="4D537EEC"/>
    <w:rsid w:val="4D7F0CE1"/>
    <w:rsid w:val="4DC62DB4"/>
    <w:rsid w:val="4F9D7B44"/>
    <w:rsid w:val="4FAC7D88"/>
    <w:rsid w:val="4FB518DD"/>
    <w:rsid w:val="52554706"/>
    <w:rsid w:val="53A019B1"/>
    <w:rsid w:val="53FE211A"/>
    <w:rsid w:val="5454111A"/>
    <w:rsid w:val="58C06CAA"/>
    <w:rsid w:val="5AE1122D"/>
    <w:rsid w:val="5B3E6680"/>
    <w:rsid w:val="5BA74018"/>
    <w:rsid w:val="5BCA3A6F"/>
    <w:rsid w:val="5C7659A5"/>
    <w:rsid w:val="5CE648D9"/>
    <w:rsid w:val="5D4D4958"/>
    <w:rsid w:val="5E127950"/>
    <w:rsid w:val="5EC155FD"/>
    <w:rsid w:val="60AC3CE1"/>
    <w:rsid w:val="60D40EEC"/>
    <w:rsid w:val="623876F5"/>
    <w:rsid w:val="62BD2580"/>
    <w:rsid w:val="62EF1ABC"/>
    <w:rsid w:val="6323075D"/>
    <w:rsid w:val="64305CB5"/>
    <w:rsid w:val="650753E9"/>
    <w:rsid w:val="65E336C9"/>
    <w:rsid w:val="66DE4873"/>
    <w:rsid w:val="69733998"/>
    <w:rsid w:val="69BE5B5A"/>
    <w:rsid w:val="69F04E15"/>
    <w:rsid w:val="6B0A3E88"/>
    <w:rsid w:val="6C3C4515"/>
    <w:rsid w:val="6CBD4F2A"/>
    <w:rsid w:val="6DF66946"/>
    <w:rsid w:val="6F0137F4"/>
    <w:rsid w:val="6FA36659"/>
    <w:rsid w:val="703A6FBE"/>
    <w:rsid w:val="7198131A"/>
    <w:rsid w:val="721B697B"/>
    <w:rsid w:val="722A3530"/>
    <w:rsid w:val="7278201F"/>
    <w:rsid w:val="72CC236B"/>
    <w:rsid w:val="73861F99"/>
    <w:rsid w:val="73EA07F6"/>
    <w:rsid w:val="743E7870"/>
    <w:rsid w:val="74EA0887"/>
    <w:rsid w:val="757A7A2A"/>
    <w:rsid w:val="766A6E7D"/>
    <w:rsid w:val="772B3B04"/>
    <w:rsid w:val="77B238DE"/>
    <w:rsid w:val="77F24622"/>
    <w:rsid w:val="786A240A"/>
    <w:rsid w:val="79052133"/>
    <w:rsid w:val="7DA63EE4"/>
    <w:rsid w:val="7DFD25D2"/>
    <w:rsid w:val="7E013A0B"/>
    <w:rsid w:val="7E8A7362"/>
    <w:rsid w:val="7F3F1C6B"/>
    <w:rsid w:val="7F477001"/>
    <w:rsid w:val="7FBA5A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rFonts w:ascii="Times New Roman" w:hAnsi="Times New Roman" w:eastAsia="宋体" w:cs="Times New Roman"/>
      <w:sz w:val="18"/>
      <w:szCs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qFormat/>
    <w:uiPriority w:val="0"/>
    <w:rPr>
      <w:rFonts w:ascii="Times New Roman" w:hAnsi="Times New Roman" w:eastAsia="宋体" w:cs="Times New Roman"/>
      <w:b/>
      <w:bCs/>
    </w:rPr>
  </w:style>
  <w:style w:type="character" w:styleId="9">
    <w:name w:val="page number"/>
    <w:basedOn w:val="7"/>
    <w:uiPriority w:val="0"/>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3276</Words>
  <Characters>3598</Characters>
  <Lines>0</Lines>
  <Paragraphs>0</Paragraphs>
  <TotalTime>6</TotalTime>
  <ScaleCrop>false</ScaleCrop>
  <LinksUpToDate>false</LinksUpToDate>
  <CharactersWithSpaces>3619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2026-02-26T03:50:00Z</dcterms:created>
  <dc:creator>Administrator</dc:creator>
  <cp:lastModifiedBy>韋金</cp:lastModifiedBy>
  <dcterms:modified xsi:type="dcterms:W3CDTF">2026-03-13T08:13:26Z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eyJoZGlkIjoiOGZkNWQwNDhkNzIxMGUyMThjMjUyNGIxNDVkNmY4OTUiLCJ1c2VySWQiOiI5ODk4NjM4NTQifQ==</vt:lpwstr>
  </property>
  <property fmtid="{D5CDD505-2E9C-101B-9397-08002B2CF9AE}" pid="4" name="ICV">
    <vt:lpwstr>B55CA8ABA3C1416FAC89CCEB0B610FBB_12</vt:lpwstr>
  </property>
</Properties>
</file>