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pPr>
      <mc:AlternateContent>
        <mc:Choice Requires="wpsCustomData">
          <wpsCustomData:docfieldStart id="0" docfieldname="标题_1" hidden="false" print="true" readonly="false" index="4"/>
        </mc:Choice>
      </mc:AlternateContent>
      <w:r>
        <w:t>玉林市医疗保障局关于完善定点医药机构管理实施细则的通知</w:t>
      </w:r>
    </w:p>
    <w:p>
      <w:pPr>
        <w:pStyle w:val="15"/>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mc:AlternateContent>
        <mc:Choice Requires="wpsCustomData">
          <wpsCustomData:docfieldEnd id="0"/>
        </mc:Choice>
      </mc:AlternateContent>
    </w:p>
    <w:p>
      <w:pPr>
        <w:pStyle w:val="11"/>
        <w:bidi w:val="0"/>
        <w:spacing w:beforeAutospacing="0" w:afterAutospacing="0" w:line="300" w:lineRule="exact"/>
      </w:pPr>
    </w:p>
    <w:p>
      <w:pPr>
        <w:pStyle w:val="11"/>
      </w:pPr>
      <w:r>
        <w:t>为进一步规范玉林市医疗保障定点医药机构管理工作，优化资源配置，提升服务质量与基金使用效益，根据《广西壮族自治区医疗保障局关于进一步加强医疗保障定点医药机构管理的通知》</w:t>
      </w:r>
      <w:r>
        <w:rPr>
          <w:rFonts w:hint="eastAsia"/>
          <w:color w:val="auto"/>
          <w:lang w:eastAsia="zh-CN"/>
        </w:rPr>
        <w:t>（</w:t>
      </w:r>
      <w:r>
        <w:rPr>
          <w:rFonts w:hint="eastAsia"/>
          <w:color w:val="auto"/>
          <w:lang w:val="en-US" w:eastAsia="zh-CN"/>
        </w:rPr>
        <w:t>桂医保发〔2025〕34号</w:t>
      </w:r>
      <w:r>
        <w:rPr>
          <w:rFonts w:hint="eastAsia"/>
          <w:color w:val="auto"/>
          <w:lang w:eastAsia="zh-CN"/>
        </w:rPr>
        <w:t>）</w:t>
      </w:r>
      <w:r>
        <w:rPr>
          <w:color w:val="auto"/>
        </w:rPr>
        <w:t>文件精神，结合本市实际制定本实施细则</w:t>
      </w:r>
      <w:r>
        <w:t>，现就相关工作通知如下：</w:t>
      </w:r>
    </w:p>
    <w:p>
      <w:pPr>
        <w:pStyle w:val="2"/>
        <w:numPr>
          <w:ilvl w:val="0"/>
          <w:numId w:val="1"/>
        </w:numPr>
        <w:topLinePunct w:val="0"/>
        <w:ind w:left="0" w:leftChars="0" w:firstLine="640" w:firstLineChars="0"/>
        <w:rPr>
          <w:b w:val="0"/>
        </w:rPr>
      </w:pPr>
      <w:r>
        <w:t>总体要求</w:t>
      </w:r>
    </w:p>
    <w:p>
      <w:pPr>
        <w:pStyle w:val="11"/>
      </w:pPr>
      <w:r>
        <w:t>坚持科学规划原则，以国家定点医药资源配置规划为指导，统筹布局医保定点医药机构，确保资源高效配置；严格规范定点医药机构准入、运营及</w:t>
      </w:r>
      <w:r>
        <w:rPr>
          <w:rFonts w:hint="eastAsia"/>
          <w:lang w:val="en-US" w:eastAsia="zh-CN"/>
        </w:rPr>
        <w:t>风险评估</w:t>
      </w:r>
      <w:r>
        <w:t>全流程管理，切实维护医保基金安全和参保群众合法权益。</w:t>
      </w:r>
    </w:p>
    <w:p>
      <w:pPr>
        <w:pStyle w:val="2"/>
        <w:numPr>
          <w:ilvl w:val="0"/>
          <w:numId w:val="1"/>
        </w:numPr>
        <w:topLinePunct w:val="0"/>
        <w:ind w:left="0" w:leftChars="0" w:firstLine="640" w:firstLineChars="0"/>
        <w:rPr>
          <w:b w:val="0"/>
        </w:rPr>
      </w:pPr>
      <w:r>
        <w:t>资源配置优化</w:t>
      </w:r>
    </w:p>
    <w:p>
      <w:pPr>
        <w:pStyle w:val="3"/>
        <w:numPr>
          <w:ilvl w:val="0"/>
          <w:numId w:val="2"/>
        </w:numPr>
        <w:topLinePunct w:val="0"/>
        <w:ind w:left="0" w:leftChars="0" w:firstLine="640" w:firstLineChars="0"/>
        <w:rPr>
          <w:b w:val="0"/>
        </w:rPr>
      </w:pPr>
      <w:r>
        <w:t>供需评估机制</w:t>
      </w:r>
    </w:p>
    <w:p>
      <w:pPr>
        <w:pStyle w:val="11"/>
      </w:pPr>
      <w:r>
        <w:t>由市医保局牵头，联合卫生健康、市场监管等部门，定期开展医保定点医药机构供需评估工作。全面采集全市参保人口分布、疾病谱、医疗资源现状等基础数据，依据国家《基本医保定点医药机构资源配置测算参考》中确定的床位配置核心公式与分级配置原则，科学测算区域医药服务需求与供给匹配度，并组织专家论证评估，确保测算结果客观合理。评估结果向社会公示，接受监督。</w:t>
      </w:r>
    </w:p>
    <w:p>
      <w:pPr>
        <w:pStyle w:val="3"/>
        <w:numPr>
          <w:ilvl w:val="0"/>
          <w:numId w:val="2"/>
        </w:numPr>
        <w:topLinePunct w:val="0"/>
        <w:ind w:left="0" w:leftChars="0" w:firstLine="640" w:firstLineChars="0"/>
        <w:rPr>
          <w:b w:val="0"/>
        </w:rPr>
      </w:pPr>
      <w:r>
        <w:t>配置阈值管理</w:t>
      </w:r>
    </w:p>
    <w:p>
      <w:pPr>
        <w:pStyle w:val="11"/>
      </w:pPr>
      <w:r>
        <w:t>市医保局会同相关部门，采用基于国家指导文件的“区域医药机构配置阈值计算模型”（附件1），每年对各区（县）的医药机构承载能力进行一次全面评估。根据评估结果，将各区（县）划分为三类区域：</w:t>
      </w:r>
    </w:p>
    <w:p>
      <w:pPr>
        <w:pStyle w:val="11"/>
        <w:numPr>
          <w:ilvl w:val="0"/>
          <w:numId w:val="3"/>
        </w:numPr>
        <w:topLinePunct w:val="0"/>
        <w:ind w:left="0" w:leftChars="0" w:firstLine="616" w:firstLineChars="0"/>
        <w:rPr>
          <w:b w:val="0"/>
        </w:rPr>
      </w:pPr>
      <w:r>
        <w:rPr>
          <w:rStyle w:val="20"/>
        </w:rPr>
        <w:t>资源饱和区</w:t>
      </w:r>
      <w:r>
        <w:t>：实际</w:t>
      </w:r>
      <w:r>
        <w:rPr>
          <w:rFonts w:hint="eastAsia"/>
          <w:lang w:val="en-US" w:eastAsia="zh-CN"/>
        </w:rPr>
        <w:t>床位</w:t>
      </w:r>
      <w:r>
        <w:t>数量 ＞ 区域床位总需求。原则上暂停新增定点机构</w:t>
      </w:r>
      <w:r>
        <w:rPr>
          <w:rFonts w:hint="eastAsia"/>
          <w:lang w:val="en-US" w:eastAsia="zh-CN"/>
        </w:rPr>
        <w:t>及床位</w:t>
      </w:r>
      <w:r>
        <w:t>。</w:t>
      </w:r>
    </w:p>
    <w:p>
      <w:pPr>
        <w:pStyle w:val="11"/>
        <w:numPr>
          <w:ilvl w:val="0"/>
          <w:numId w:val="3"/>
        </w:numPr>
        <w:topLinePunct w:val="0"/>
        <w:ind w:left="0" w:leftChars="0" w:firstLine="616" w:firstLineChars="0"/>
        <w:rPr>
          <w:b w:val="0"/>
        </w:rPr>
      </w:pPr>
      <w:r>
        <w:rPr>
          <w:rStyle w:val="20"/>
        </w:rPr>
        <w:t>资源均衡区</w:t>
      </w:r>
      <w:r>
        <w:t>：区域床位总需求 × 90％ ≤ 实际</w:t>
      </w:r>
      <w:r>
        <w:rPr>
          <w:rFonts w:hint="eastAsia"/>
          <w:lang w:val="en-US" w:eastAsia="zh-CN"/>
        </w:rPr>
        <w:t>床位</w:t>
      </w:r>
      <w:r>
        <w:t>数量 ≤ 区域床位总需求。实行结构性调整准入，重点支持补齐短板的专科机构或基层机构。</w:t>
      </w:r>
    </w:p>
    <w:p>
      <w:pPr>
        <w:pStyle w:val="11"/>
        <w:numPr>
          <w:ilvl w:val="0"/>
          <w:numId w:val="3"/>
        </w:numPr>
        <w:topLinePunct w:val="0"/>
        <w:ind w:left="0" w:leftChars="0" w:firstLine="616" w:firstLineChars="0"/>
        <w:rPr>
          <w:b w:val="0"/>
        </w:rPr>
      </w:pPr>
      <w:r>
        <w:rPr>
          <w:rStyle w:val="20"/>
        </w:rPr>
        <w:t>资源短缺区</w:t>
      </w:r>
      <w:r>
        <w:t>：实际</w:t>
      </w:r>
      <w:r>
        <w:rPr>
          <w:rFonts w:hint="eastAsia"/>
          <w:lang w:val="en-US" w:eastAsia="zh-CN"/>
        </w:rPr>
        <w:t>床位</w:t>
      </w:r>
      <w:r>
        <w:t>数量 ＜ 区域床位总需求× 90％。实行鼓励性准入，优先布局。</w:t>
      </w:r>
    </w:p>
    <w:p>
      <w:pPr>
        <w:pStyle w:val="11"/>
      </w:pPr>
      <w:r>
        <w:t>新设机构需经历6个月辅导期，期间加强监管，督促其定期报送运营数据，严格履行服务协议。</w:t>
      </w:r>
    </w:p>
    <w:p>
      <w:pPr>
        <w:pStyle w:val="11"/>
        <w:rPr>
          <w:rFonts w:hint="eastAsia"/>
          <w:color w:val="auto"/>
          <w:lang w:val="en-US" w:eastAsia="zh-CN"/>
        </w:rPr>
      </w:pPr>
      <w:r>
        <w:rPr>
          <w:rFonts w:hint="eastAsia"/>
          <w:color w:val="auto"/>
          <w:lang w:val="en-US" w:eastAsia="zh-CN"/>
        </w:rPr>
        <w:t>对于资源均衡区和资源短缺区的地区，严格按分级配置结构（附件1）的要求，根据参保人口和原有等级医疗机构床位比例合理纳入，原则上不能超量纳入。</w:t>
      </w:r>
    </w:p>
    <w:p>
      <w:pPr>
        <w:pStyle w:val="11"/>
        <w:rPr>
          <w:rFonts w:hint="eastAsia"/>
          <w:color w:val="auto"/>
          <w:lang w:eastAsia="zh-CN"/>
        </w:rPr>
      </w:pPr>
      <w:r>
        <w:rPr>
          <w:rFonts w:hint="eastAsia"/>
          <w:color w:val="auto"/>
          <w:lang w:eastAsia="zh-CN"/>
        </w:rPr>
        <w:t>全市现有定点医药机构数量超过本规划总量的，原则上不再新增定点医药机构。对于</w:t>
      </w:r>
      <w:r>
        <w:rPr>
          <w:rFonts w:hint="eastAsia"/>
          <w:color w:val="auto"/>
          <w:lang w:val="en-US" w:eastAsia="zh-CN"/>
        </w:rPr>
        <w:t>某等级</w:t>
      </w:r>
      <w:r>
        <w:rPr>
          <w:rFonts w:hint="eastAsia"/>
          <w:color w:val="auto"/>
          <w:lang w:eastAsia="zh-CN"/>
        </w:rPr>
        <w:t>住院</w:t>
      </w:r>
      <w:r>
        <w:rPr>
          <w:rFonts w:hint="eastAsia"/>
          <w:color w:val="auto"/>
          <w:lang w:val="en-US" w:eastAsia="zh-CN"/>
        </w:rPr>
        <w:t>医疗机构</w:t>
      </w:r>
      <w:r>
        <w:rPr>
          <w:rFonts w:hint="eastAsia"/>
          <w:color w:val="auto"/>
          <w:lang w:eastAsia="zh-CN"/>
        </w:rPr>
        <w:t>床位数已超出规划总量，但</w:t>
      </w:r>
      <w:r>
        <w:rPr>
          <w:rFonts w:hint="eastAsia"/>
          <w:color w:val="auto"/>
          <w:lang w:val="en-US" w:eastAsia="zh-CN"/>
        </w:rPr>
        <w:t>仍存在其他等级</w:t>
      </w:r>
      <w:r>
        <w:rPr>
          <w:rFonts w:hint="eastAsia"/>
          <w:color w:val="auto"/>
          <w:lang w:eastAsia="zh-CN"/>
        </w:rPr>
        <w:t>住院定点医疗机构资源需求缺口较大的县(市、区)，逐渐消化其他等级住院医疗机构原有存量床位后，再将符合等级条件的住院医疗机构按规定择优纳入定点管理;对于门诊类定点医疗机构或定点零售药店数量少于规划数量的区域，或已超过规划数量但机构分布不均衡的区域，可根据区域内同类型定点医药机构退出医保协议管理的数量确定相应区域内的定点医药机构准入数量，并按规定将符合条件的医药机构择优纳入定点管理。</w:t>
      </w:r>
    </w:p>
    <w:p>
      <w:pPr>
        <w:pStyle w:val="11"/>
        <w:ind w:left="0" w:leftChars="0" w:firstLine="616" w:firstLineChars="200"/>
        <w:rPr>
          <w:color w:val="auto"/>
        </w:rPr>
      </w:pPr>
      <w:r>
        <w:rPr>
          <w:rFonts w:hint="eastAsia"/>
          <w:color w:val="auto"/>
        </w:rPr>
        <w:t>各级医保中心负责对辖区内定点医疗机构的医保备案床位数</w:t>
      </w:r>
      <w:r>
        <w:rPr>
          <w:rFonts w:hint="eastAsia"/>
          <w:color w:val="auto"/>
          <w:lang w:val="en-US" w:eastAsia="zh-CN"/>
        </w:rPr>
        <w:t>及医护、医技人员</w:t>
      </w:r>
      <w:r>
        <w:rPr>
          <w:rFonts w:hint="eastAsia"/>
          <w:color w:val="auto"/>
        </w:rPr>
        <w:t>进行登记和管理。建立台账，动态掌握区域内床位资源配置情况。医保备案</w:t>
      </w:r>
      <w:r>
        <w:rPr>
          <w:rFonts w:hint="eastAsia"/>
          <w:color w:val="auto"/>
          <w:lang w:val="en-US" w:eastAsia="zh-CN"/>
        </w:rPr>
        <w:t>审批</w:t>
      </w:r>
      <w:r>
        <w:rPr>
          <w:rFonts w:hint="eastAsia"/>
          <w:color w:val="auto"/>
        </w:rPr>
        <w:t>床位数将作为医疗机构服务能力评估、基金预算分配和风险监测的重要依据。</w:t>
      </w:r>
    </w:p>
    <w:p>
      <w:pPr>
        <w:pStyle w:val="11"/>
        <w:rPr>
          <w:rFonts w:hint="default"/>
          <w:color w:val="auto"/>
          <w:lang w:val="en-US" w:eastAsia="zh-CN"/>
        </w:rPr>
      </w:pPr>
      <w:r>
        <w:rPr>
          <w:rFonts w:hint="eastAsia"/>
          <w:color w:val="auto"/>
        </w:rPr>
        <w:t>医疗机构应如实</w:t>
      </w:r>
      <w:r>
        <w:rPr>
          <w:rFonts w:hint="eastAsia"/>
          <w:color w:val="auto"/>
          <w:lang w:val="en-US" w:eastAsia="zh-CN"/>
        </w:rPr>
        <w:t>向</w:t>
      </w:r>
      <w:r>
        <w:rPr>
          <w:rFonts w:hint="eastAsia"/>
          <w:color w:val="auto"/>
        </w:rPr>
        <w:t>医保</w:t>
      </w:r>
      <w:r>
        <w:rPr>
          <w:rFonts w:hint="eastAsia"/>
          <w:color w:val="auto"/>
          <w:lang w:val="en-US" w:eastAsia="zh-CN"/>
        </w:rPr>
        <w:t>部门</w:t>
      </w:r>
      <w:r>
        <w:rPr>
          <w:rFonts w:hint="eastAsia"/>
          <w:color w:val="auto"/>
        </w:rPr>
        <w:t>申报床位数，拟申请新增床位的</w:t>
      </w:r>
      <w:r>
        <w:rPr>
          <w:rFonts w:hint="eastAsia"/>
          <w:color w:val="auto"/>
          <w:spacing w:val="-2"/>
        </w:rPr>
        <w:t>，需报</w:t>
      </w:r>
      <w:r>
        <w:rPr>
          <w:rFonts w:hint="eastAsia"/>
          <w:color w:val="auto"/>
          <w:spacing w:val="-2"/>
          <w:lang w:val="en-US" w:eastAsia="zh-CN"/>
        </w:rPr>
        <w:t>同级</w:t>
      </w:r>
      <w:r>
        <w:rPr>
          <w:rFonts w:hint="eastAsia"/>
          <w:color w:val="auto"/>
          <w:spacing w:val="-2"/>
        </w:rPr>
        <w:t>医保</w:t>
      </w:r>
      <w:r>
        <w:rPr>
          <w:rFonts w:hint="eastAsia"/>
          <w:color w:val="auto"/>
          <w:spacing w:val="-2"/>
          <w:lang w:val="en-US" w:eastAsia="zh-CN"/>
        </w:rPr>
        <w:t>中心</w:t>
      </w:r>
      <w:r>
        <w:rPr>
          <w:rFonts w:hint="eastAsia"/>
          <w:color w:val="auto"/>
          <w:spacing w:val="-2"/>
        </w:rPr>
        <w:t>同意后</w:t>
      </w:r>
      <w:r>
        <w:rPr>
          <w:rFonts w:hint="eastAsia"/>
          <w:color w:val="auto"/>
          <w:spacing w:val="-2"/>
          <w:lang w:val="en-US" w:eastAsia="zh-CN"/>
        </w:rPr>
        <w:t>上报市医保中心审批</w:t>
      </w:r>
      <w:r>
        <w:rPr>
          <w:rFonts w:hint="eastAsia"/>
          <w:color w:val="auto"/>
          <w:spacing w:val="-2"/>
        </w:rPr>
        <w:t>方可纳入医</w:t>
      </w:r>
      <w:r>
        <w:rPr>
          <w:rFonts w:hint="eastAsia"/>
          <w:color w:val="auto"/>
          <w:spacing w:val="-6"/>
        </w:rPr>
        <w:t>保</w:t>
      </w:r>
      <w:r>
        <w:rPr>
          <w:rFonts w:hint="eastAsia"/>
          <w:color w:val="auto"/>
        </w:rPr>
        <w:t>报销</w:t>
      </w:r>
      <w:r>
        <w:rPr>
          <w:rFonts w:hint="eastAsia"/>
          <w:color w:val="auto"/>
          <w:lang w:eastAsia="zh-CN"/>
        </w:rPr>
        <w:t>。</w:t>
      </w:r>
      <w:r>
        <w:rPr>
          <w:rFonts w:hint="eastAsia"/>
          <w:color w:val="auto"/>
          <w:lang w:val="en-US" w:eastAsia="zh-CN"/>
        </w:rPr>
        <w:t>辖区医保中心审核</w:t>
      </w:r>
      <w:r>
        <w:rPr>
          <w:rFonts w:hint="eastAsia"/>
          <w:color w:val="auto"/>
        </w:rPr>
        <w:t>新增床位</w:t>
      </w:r>
      <w:r>
        <w:rPr>
          <w:rFonts w:hint="eastAsia"/>
          <w:color w:val="auto"/>
          <w:lang w:val="en-US" w:eastAsia="zh-CN"/>
        </w:rPr>
        <w:t>申请时应充分考虑医疗机构的现有建筑面积和医务人员的配比。</w:t>
      </w:r>
    </w:p>
    <w:p>
      <w:pPr>
        <w:pStyle w:val="2"/>
        <w:numPr>
          <w:ilvl w:val="0"/>
          <w:numId w:val="1"/>
        </w:numPr>
        <w:topLinePunct w:val="0"/>
        <w:ind w:left="0" w:leftChars="0" w:firstLine="640" w:firstLineChars="0"/>
        <w:rPr>
          <w:b w:val="0"/>
          <w:color w:val="auto"/>
        </w:rPr>
      </w:pPr>
      <w:r>
        <w:rPr>
          <w:color w:val="auto"/>
        </w:rPr>
        <w:t>新增机构准入评估流程</w:t>
      </w:r>
    </w:p>
    <w:p>
      <w:pPr>
        <w:pStyle w:val="11"/>
        <w:rPr>
          <w:rFonts w:hint="eastAsia"/>
          <w:color w:val="auto"/>
          <w:lang w:eastAsia="zh-CN"/>
        </w:rPr>
      </w:pPr>
      <w:r>
        <w:rPr>
          <w:rFonts w:hint="eastAsia"/>
          <w:color w:val="auto"/>
          <w:lang w:eastAsia="zh-CN"/>
        </w:rPr>
        <w:t>对</w:t>
      </w:r>
      <w:r>
        <w:rPr>
          <w:rFonts w:hint="eastAsia"/>
          <w:color w:val="auto"/>
          <w:lang w:val="en-US" w:eastAsia="zh-CN"/>
        </w:rPr>
        <w:t>于</w:t>
      </w:r>
      <w:r>
        <w:rPr>
          <w:rStyle w:val="20"/>
          <w:rFonts w:hint="eastAsia"/>
          <w:color w:val="auto"/>
          <w:lang w:val="en-US" w:eastAsia="zh-CN"/>
        </w:rPr>
        <w:t>符合新增条件的区域</w:t>
      </w:r>
      <w:r>
        <w:rPr>
          <w:rFonts w:hint="eastAsia"/>
          <w:color w:val="auto"/>
          <w:lang w:eastAsia="zh-CN"/>
        </w:rPr>
        <w:t>，严格按照既定程序开展申请机构准入工作：经初步审核符合条件后纳入定点范围，并在辅导期满后组织</w:t>
      </w:r>
      <w:r>
        <w:rPr>
          <w:rFonts w:hint="eastAsia"/>
          <w:color w:val="auto"/>
          <w:spacing w:val="-2"/>
          <w:lang w:eastAsia="zh-CN"/>
        </w:rPr>
        <w:t>专项评估，依据评估结果依法依规确定最终纳入定点管理机</w:t>
      </w:r>
      <w:r>
        <w:rPr>
          <w:rFonts w:hint="eastAsia"/>
          <w:color w:val="auto"/>
          <w:spacing w:val="-6"/>
          <w:lang w:eastAsia="zh-CN"/>
        </w:rPr>
        <w:t>构</w:t>
      </w:r>
      <w:r>
        <w:rPr>
          <w:rFonts w:hint="eastAsia"/>
          <w:color w:val="auto"/>
          <w:lang w:eastAsia="zh-CN"/>
        </w:rPr>
        <w:t>名单。</w:t>
      </w:r>
    </w:p>
    <w:p>
      <w:pPr>
        <w:pStyle w:val="3"/>
        <w:numPr>
          <w:ilvl w:val="0"/>
          <w:numId w:val="4"/>
        </w:numPr>
        <w:topLinePunct w:val="0"/>
        <w:ind w:left="0" w:leftChars="0" w:firstLine="640" w:firstLineChars="0"/>
        <w:rPr>
          <w:b w:val="0"/>
          <w:color w:val="auto"/>
        </w:rPr>
      </w:pPr>
      <w:r>
        <w:rPr>
          <w:color w:val="auto"/>
        </w:rPr>
        <w:t>资格初审</w:t>
      </w:r>
    </w:p>
    <w:p>
      <w:pPr>
        <w:pStyle w:val="11"/>
      </w:pPr>
      <w:r>
        <w:rPr>
          <w:color w:val="auto"/>
        </w:rPr>
        <w:t>审核申请机构是否具备国家及自治区规定的基本准入条件。零售药店在符合定点基本准入条件的基础上，城市建成区须严格遵循＂15分钟医保服务圈＂建设标准，服务半径800米范围内可设</w:t>
      </w:r>
      <w:r>
        <w:t>置1－3家。乡镇中心区原则上应配备不少于1家定点零售药店。通过初审的机构，可先行纳入定点管理，进入6个月辅导期。</w:t>
      </w:r>
    </w:p>
    <w:p>
      <w:pPr>
        <w:pStyle w:val="3"/>
        <w:numPr>
          <w:ilvl w:val="0"/>
          <w:numId w:val="4"/>
        </w:numPr>
        <w:topLinePunct w:val="0"/>
        <w:ind w:left="0" w:leftChars="0" w:firstLine="640" w:firstLineChars="0"/>
        <w:rPr>
          <w:b w:val="0"/>
        </w:rPr>
      </w:pPr>
      <w:r>
        <w:t>辅导期数据评估</w:t>
      </w:r>
    </w:p>
    <w:p>
      <w:pPr>
        <w:pStyle w:val="11"/>
        <w:rPr>
          <w:highlight w:val="none"/>
        </w:rPr>
      </w:pPr>
      <w:r>
        <w:rPr>
          <w:highlight w:val="none"/>
        </w:rPr>
        <w:t>辅导期结束后，重点评估机构服务能力与</w:t>
      </w:r>
      <w:r>
        <w:rPr>
          <w:rFonts w:hint="eastAsia"/>
          <w:highlight w:val="none"/>
          <w:lang w:val="en-US" w:eastAsia="zh-CN"/>
        </w:rPr>
        <w:t>医保管理能力</w:t>
      </w:r>
      <w:r>
        <w:rPr>
          <w:highlight w:val="none"/>
        </w:rPr>
        <w:t>。</w:t>
      </w:r>
    </w:p>
    <w:p>
      <w:pPr>
        <w:pStyle w:val="11"/>
        <w:numPr>
          <w:ilvl w:val="0"/>
          <w:numId w:val="5"/>
        </w:numPr>
        <w:topLinePunct w:val="0"/>
        <w:ind w:left="0" w:leftChars="0" w:firstLine="616" w:firstLineChars="0"/>
        <w:rPr>
          <w:b w:val="0"/>
          <w:color w:val="auto"/>
          <w:highlight w:val="none"/>
        </w:rPr>
      </w:pPr>
      <w:r>
        <w:rPr>
          <w:color w:val="auto"/>
          <w:spacing w:val="1"/>
          <w:highlight w:val="none"/>
        </w:rPr>
        <w:t>定点医疗机</w:t>
      </w:r>
      <w:r>
        <w:rPr>
          <w:color w:val="auto"/>
          <w:spacing w:val="2"/>
          <w:highlight w:val="none"/>
        </w:rPr>
        <w:t>构</w:t>
      </w:r>
      <w:r>
        <w:rPr>
          <w:color w:val="auto"/>
          <w:spacing w:val="1"/>
          <w:highlight w:val="none"/>
        </w:rPr>
        <w:t>：评估</w:t>
      </w:r>
      <w:r>
        <w:rPr>
          <w:rFonts w:hint="eastAsia"/>
          <w:color w:val="auto"/>
          <w:spacing w:val="1"/>
          <w:highlight w:val="none"/>
          <w:lang w:val="en-US" w:eastAsia="zh-CN"/>
        </w:rPr>
        <w:t>医保管理能力</w:t>
      </w:r>
      <w:r>
        <w:rPr>
          <w:color w:val="auto"/>
          <w:highlight w:val="none"/>
        </w:rPr>
        <w:t>。</w:t>
      </w:r>
    </w:p>
    <w:p>
      <w:pPr>
        <w:pStyle w:val="11"/>
        <w:rPr>
          <w:color w:val="auto"/>
          <w:highlight w:val="none"/>
        </w:rPr>
      </w:pPr>
      <w:r>
        <w:rPr>
          <w:color w:val="auto"/>
          <w:spacing w:val="1"/>
          <w:highlight w:val="none"/>
        </w:rPr>
        <w:t>定点医疗机</w:t>
      </w:r>
      <w:r>
        <w:rPr>
          <w:color w:val="auto"/>
          <w:spacing w:val="2"/>
          <w:highlight w:val="none"/>
        </w:rPr>
        <w:t>构</w:t>
      </w:r>
      <w:r>
        <w:rPr>
          <w:rFonts w:hint="eastAsia"/>
          <w:color w:val="auto"/>
          <w:highlight w:val="none"/>
          <w:lang w:val="en-US" w:eastAsia="zh-CN"/>
        </w:rPr>
        <w:t>医保管理能力</w:t>
      </w:r>
      <w:r>
        <w:rPr>
          <w:color w:val="auto"/>
          <w:highlight w:val="none"/>
        </w:rPr>
        <w:t>评分＝（</w:t>
      </w:r>
      <w:r>
        <w:rPr>
          <w:rFonts w:hint="eastAsia"/>
          <w:color w:val="auto"/>
          <w:highlight w:val="none"/>
          <w:lang w:val="en-US" w:eastAsia="zh-CN"/>
        </w:rPr>
        <w:t>医保结算清单上传率</w:t>
      </w:r>
      <w:r>
        <w:rPr>
          <w:color w:val="auto"/>
          <w:highlight w:val="none"/>
        </w:rPr>
        <w:t xml:space="preserve"> × </w:t>
      </w:r>
      <w:r>
        <w:rPr>
          <w:rFonts w:hint="eastAsia"/>
          <w:color w:val="auto"/>
          <w:highlight w:val="none"/>
          <w:lang w:val="en-US" w:eastAsia="zh-CN"/>
        </w:rPr>
        <w:t>30</w:t>
      </w:r>
      <w:r>
        <w:rPr>
          <w:color w:val="auto"/>
          <w:highlight w:val="none"/>
        </w:rPr>
        <w:t xml:space="preserve">％ ＋ </w:t>
      </w:r>
      <w:r>
        <w:rPr>
          <w:rFonts w:hint="eastAsia"/>
          <w:color w:val="auto"/>
          <w:highlight w:val="none"/>
          <w:lang w:val="en-US" w:eastAsia="zh-CN"/>
        </w:rPr>
        <w:t>医保结算清单质控通过率</w:t>
      </w:r>
      <w:r>
        <w:rPr>
          <w:color w:val="auto"/>
          <w:highlight w:val="none"/>
        </w:rPr>
        <w:t xml:space="preserve"> × </w:t>
      </w:r>
      <w:r>
        <w:rPr>
          <w:rFonts w:hint="eastAsia"/>
          <w:color w:val="auto"/>
          <w:highlight w:val="none"/>
          <w:lang w:val="en-US" w:eastAsia="zh-CN"/>
        </w:rPr>
        <w:t>30</w:t>
      </w:r>
      <w:r>
        <w:rPr>
          <w:color w:val="auto"/>
          <w:highlight w:val="none"/>
        </w:rPr>
        <w:t>％＋</w:t>
      </w:r>
      <w:r>
        <w:rPr>
          <w:rFonts w:hint="eastAsia"/>
          <w:color w:val="auto"/>
          <w:highlight w:val="none"/>
          <w:lang w:val="en-US" w:eastAsia="zh-CN"/>
        </w:rPr>
        <w:t>医保追溯码上传率</w:t>
      </w:r>
      <w:r>
        <w:rPr>
          <w:color w:val="auto"/>
          <w:highlight w:val="none"/>
        </w:rPr>
        <w:t>×</w:t>
      </w:r>
      <w:r>
        <w:rPr>
          <w:rFonts w:hint="eastAsia"/>
          <w:color w:val="auto"/>
          <w:highlight w:val="none"/>
          <w:lang w:val="en-US" w:eastAsia="zh-CN"/>
        </w:rPr>
        <w:t>20%</w:t>
      </w:r>
      <w:r>
        <w:rPr>
          <w:color w:val="auto"/>
          <w:highlight w:val="none"/>
        </w:rPr>
        <w:t>＋</w:t>
      </w:r>
      <w:r>
        <w:rPr>
          <w:rFonts w:hint="eastAsia"/>
          <w:color w:val="auto"/>
          <w:highlight w:val="none"/>
          <w:lang w:val="en-US" w:eastAsia="zh-CN"/>
        </w:rPr>
        <w:t>医保码结算使用率</w:t>
      </w:r>
      <w:r>
        <w:rPr>
          <w:color w:val="auto"/>
          <w:highlight w:val="none"/>
        </w:rPr>
        <w:t>×</w:t>
      </w:r>
      <w:r>
        <w:rPr>
          <w:rFonts w:hint="eastAsia"/>
          <w:color w:val="auto"/>
          <w:highlight w:val="none"/>
          <w:lang w:val="en-US" w:eastAsia="zh-CN"/>
        </w:rPr>
        <w:t>20%）</w:t>
      </w:r>
      <w:r>
        <w:rPr>
          <w:color w:val="auto"/>
          <w:highlight w:val="none"/>
        </w:rPr>
        <w:t>×100％</w:t>
      </w:r>
    </w:p>
    <w:p>
      <w:pPr>
        <w:pStyle w:val="11"/>
        <w:rPr>
          <w:rFonts w:hint="default" w:eastAsia="仿宋_GB2312"/>
          <w:color w:val="auto"/>
          <w:highlight w:val="none"/>
          <w:lang w:val="en-US" w:eastAsia="zh-CN"/>
        </w:rPr>
      </w:pPr>
      <w:r>
        <w:rPr>
          <w:rFonts w:hint="eastAsia"/>
          <w:color w:val="auto"/>
          <w:highlight w:val="none"/>
          <w:lang w:val="en-US" w:eastAsia="zh-CN"/>
        </w:rPr>
        <w:t>非住院类医疗机构根据开通门诊慢性病结算的情况考核医保结算清单上传率和医保结算清单质控通过率，未开通相关权限的医疗机构医保追溯码上传率和医保码结算使用率的权重占比可提高到50%。</w:t>
      </w:r>
    </w:p>
    <w:p>
      <w:pPr>
        <w:pStyle w:val="11"/>
        <w:numPr>
          <w:ilvl w:val="0"/>
          <w:numId w:val="5"/>
        </w:numPr>
        <w:topLinePunct w:val="0"/>
        <w:ind w:left="0" w:leftChars="0" w:firstLine="616" w:firstLineChars="0"/>
        <w:rPr>
          <w:b w:val="0"/>
          <w:color w:val="auto"/>
          <w:highlight w:val="none"/>
        </w:rPr>
      </w:pPr>
      <w:r>
        <w:rPr>
          <w:color w:val="auto"/>
          <w:highlight w:val="none"/>
        </w:rPr>
        <w:t>定点零售药店：评估</w:t>
      </w:r>
      <w:r>
        <w:rPr>
          <w:rFonts w:hint="eastAsia"/>
          <w:color w:val="auto"/>
          <w:highlight w:val="none"/>
          <w:lang w:val="en-US" w:eastAsia="zh-CN"/>
        </w:rPr>
        <w:t>医保管理能力和</w:t>
      </w:r>
      <w:r>
        <w:rPr>
          <w:color w:val="auto"/>
          <w:highlight w:val="none"/>
        </w:rPr>
        <w:t>价格合理性。</w:t>
      </w:r>
    </w:p>
    <w:p>
      <w:pPr>
        <w:pStyle w:val="11"/>
        <w:rPr>
          <w:color w:val="auto"/>
          <w:highlight w:val="none"/>
        </w:rPr>
      </w:pPr>
      <w:r>
        <w:rPr>
          <w:color w:val="auto"/>
          <w:highlight w:val="none"/>
        </w:rPr>
        <w:t>定点零售药店</w:t>
      </w:r>
      <w:r>
        <w:rPr>
          <w:rFonts w:hint="eastAsia"/>
          <w:color w:val="auto"/>
          <w:highlight w:val="none"/>
          <w:lang w:val="en-US" w:eastAsia="zh-CN"/>
        </w:rPr>
        <w:t>医保管理能力评分</w:t>
      </w:r>
      <w:r>
        <w:rPr>
          <w:color w:val="auto"/>
          <w:highlight w:val="none"/>
        </w:rPr>
        <w:t>＝（</w:t>
      </w:r>
      <w:r>
        <w:rPr>
          <w:rFonts w:hint="eastAsia"/>
          <w:color w:val="auto"/>
          <w:highlight w:val="none"/>
          <w:lang w:val="en-US" w:eastAsia="zh-CN"/>
        </w:rPr>
        <w:t>医保追溯码上传率</w:t>
      </w:r>
      <w:r>
        <w:rPr>
          <w:color w:val="auto"/>
          <w:highlight w:val="none"/>
        </w:rPr>
        <w:t>×</w:t>
      </w:r>
      <w:r>
        <w:rPr>
          <w:rFonts w:hint="eastAsia"/>
          <w:color w:val="auto"/>
          <w:highlight w:val="none"/>
          <w:lang w:val="en-US" w:eastAsia="zh-CN"/>
        </w:rPr>
        <w:t>50%</w:t>
      </w:r>
      <w:r>
        <w:rPr>
          <w:color w:val="auto"/>
          <w:highlight w:val="none"/>
        </w:rPr>
        <w:t>＋</w:t>
      </w:r>
      <w:r>
        <w:rPr>
          <w:rFonts w:hint="eastAsia"/>
          <w:color w:val="auto"/>
          <w:highlight w:val="none"/>
          <w:lang w:val="en-US" w:eastAsia="zh-CN"/>
        </w:rPr>
        <w:t>医保码结算使用率</w:t>
      </w:r>
      <w:r>
        <w:rPr>
          <w:color w:val="auto"/>
          <w:highlight w:val="none"/>
        </w:rPr>
        <w:t xml:space="preserve"> × </w:t>
      </w:r>
      <w:r>
        <w:rPr>
          <w:rFonts w:hint="eastAsia"/>
          <w:color w:val="auto"/>
          <w:highlight w:val="none"/>
          <w:lang w:val="en-US" w:eastAsia="zh-CN"/>
        </w:rPr>
        <w:t>20%</w:t>
      </w:r>
      <w:r>
        <w:rPr>
          <w:color w:val="auto"/>
          <w:highlight w:val="none"/>
        </w:rPr>
        <w:t>＋药品价格偏离度</w:t>
      </w:r>
      <w:r>
        <w:rPr>
          <w:rFonts w:hint="eastAsia"/>
          <w:color w:val="auto"/>
          <w:highlight w:val="none"/>
          <w:lang w:eastAsia="zh-CN"/>
        </w:rPr>
        <w:t>低</w:t>
      </w:r>
      <w:r>
        <w:rPr>
          <w:color w:val="auto"/>
          <w:highlight w:val="none"/>
        </w:rPr>
        <w:t>的</w:t>
      </w:r>
      <w:r>
        <w:rPr>
          <w:rFonts w:hint="eastAsia"/>
          <w:color w:val="auto"/>
          <w:highlight w:val="none"/>
        </w:rPr>
        <w:t>销量前20个</w:t>
      </w:r>
      <w:r>
        <w:rPr>
          <w:color w:val="auto"/>
          <w:highlight w:val="none"/>
        </w:rPr>
        <w:t xml:space="preserve">药品占比× </w:t>
      </w:r>
      <w:r>
        <w:rPr>
          <w:rFonts w:hint="eastAsia"/>
          <w:color w:val="auto"/>
          <w:highlight w:val="none"/>
          <w:lang w:val="en-US" w:eastAsia="zh-CN"/>
        </w:rPr>
        <w:t>30%</w:t>
      </w:r>
      <w:r>
        <w:rPr>
          <w:color w:val="auto"/>
          <w:highlight w:val="none"/>
        </w:rPr>
        <w:t>） × 100％</w:t>
      </w:r>
    </w:p>
    <w:p>
      <w:pPr>
        <w:pStyle w:val="11"/>
        <w:rPr>
          <w:rFonts w:hint="eastAsia"/>
          <w:color w:val="auto"/>
          <w:highlight w:val="none"/>
        </w:rPr>
      </w:pPr>
      <w:r>
        <w:rPr>
          <w:color w:val="auto"/>
          <w:highlight w:val="none"/>
        </w:rPr>
        <w:t>药品价格偏离度</w:t>
      </w:r>
      <w:r>
        <w:rPr>
          <w:rFonts w:hint="eastAsia"/>
          <w:color w:val="auto"/>
          <w:highlight w:val="none"/>
          <w:lang w:eastAsia="zh-CN"/>
        </w:rPr>
        <w:t>低</w:t>
      </w:r>
      <w:r>
        <w:rPr>
          <w:color w:val="auto"/>
          <w:highlight w:val="none"/>
        </w:rPr>
        <w:t>的药品占比 ＝ （药品销售价格偏离度≤10％的数量 ／ 该零售药店销</w:t>
      </w:r>
      <w:r>
        <w:rPr>
          <w:rFonts w:hint="eastAsia"/>
          <w:color w:val="auto"/>
          <w:highlight w:val="none"/>
          <w:lang w:eastAsia="zh-CN"/>
        </w:rPr>
        <w:t>量前</w:t>
      </w:r>
      <w:r>
        <w:rPr>
          <w:rFonts w:hint="eastAsia"/>
          <w:color w:val="auto"/>
          <w:highlight w:val="none"/>
          <w:lang w:val="en-US" w:eastAsia="zh-CN"/>
        </w:rPr>
        <w:t>20个</w:t>
      </w:r>
      <w:r>
        <w:rPr>
          <w:color w:val="auto"/>
          <w:highlight w:val="none"/>
        </w:rPr>
        <w:t>药品总数） × 100％</w:t>
      </w:r>
    </w:p>
    <w:p>
      <w:pPr>
        <w:pStyle w:val="3"/>
        <w:numPr>
          <w:ilvl w:val="0"/>
          <w:numId w:val="4"/>
        </w:numPr>
        <w:topLinePunct w:val="0"/>
        <w:ind w:left="0" w:leftChars="0" w:firstLine="640" w:firstLineChars="0"/>
        <w:rPr>
          <w:b w:val="0"/>
          <w:highlight w:val="none"/>
        </w:rPr>
      </w:pPr>
      <w:r>
        <w:rPr>
          <w:highlight w:val="none"/>
        </w:rPr>
        <w:t>综合决策</w:t>
      </w:r>
    </w:p>
    <w:p>
      <w:pPr>
        <w:pStyle w:val="11"/>
        <w:rPr>
          <w:highlight w:val="none"/>
        </w:rPr>
      </w:pPr>
      <w:r>
        <w:rPr>
          <w:highlight w:val="none"/>
        </w:rPr>
        <w:t>根据指标评分进行决策：</w:t>
      </w:r>
    </w:p>
    <w:p>
      <w:pPr>
        <w:pStyle w:val="11"/>
        <w:rPr>
          <w:highlight w:val="none"/>
        </w:rPr>
      </w:pPr>
      <w:r>
        <w:rPr>
          <w:highlight w:val="none"/>
        </w:rPr>
        <w:t>评分 ≥ 85分：正式纳入定点管理。</w:t>
      </w:r>
    </w:p>
    <w:p>
      <w:pPr>
        <w:pStyle w:val="11"/>
        <w:rPr>
          <w:highlight w:val="none"/>
        </w:rPr>
      </w:pPr>
      <w:r>
        <w:rPr>
          <w:highlight w:val="none"/>
        </w:rPr>
        <w:t>评分 ＜ 85分：可延长辅导期</w:t>
      </w:r>
      <w:r>
        <w:rPr>
          <w:rFonts w:hint="eastAsia"/>
          <w:highlight w:val="none"/>
          <w:lang w:val="en-US" w:eastAsia="zh-CN"/>
        </w:rPr>
        <w:t>6</w:t>
      </w:r>
      <w:r>
        <w:rPr>
          <w:highlight w:val="none"/>
        </w:rPr>
        <w:t>个月后再次评估。</w:t>
      </w:r>
    </w:p>
    <w:p>
      <w:pPr>
        <w:pStyle w:val="11"/>
        <w:rPr>
          <w:highlight w:val="none"/>
        </w:rPr>
      </w:pPr>
      <w:r>
        <w:rPr>
          <w:rFonts w:hint="eastAsia"/>
          <w:highlight w:val="none"/>
          <w:lang w:val="en-US" w:eastAsia="zh-CN"/>
        </w:rPr>
        <w:t>两次评估后分数均低于85分则</w:t>
      </w:r>
      <w:r>
        <w:rPr>
          <w:highlight w:val="none"/>
        </w:rPr>
        <w:t>不予纳入定点管理。</w:t>
      </w:r>
    </w:p>
    <w:p>
      <w:pPr>
        <w:pStyle w:val="2"/>
        <w:numPr>
          <w:ilvl w:val="0"/>
          <w:numId w:val="1"/>
        </w:numPr>
        <w:topLinePunct w:val="0"/>
        <w:ind w:left="0" w:leftChars="0" w:firstLine="640" w:firstLineChars="0"/>
        <w:rPr>
          <w:b w:val="0"/>
        </w:rPr>
      </w:pPr>
      <w:r>
        <w:t>服务协议与量化管理</w:t>
      </w:r>
    </w:p>
    <w:p>
      <w:pPr>
        <w:pStyle w:val="11"/>
      </w:pPr>
      <w:r>
        <w:t>对批准纳入的定点机构，在签订服务协议时，将医疗机构门诊量与住院量的占比、</w:t>
      </w:r>
      <w:r>
        <w:rPr>
          <w:rFonts w:hint="eastAsia"/>
        </w:rPr>
        <w:t>病种服务匹配度</w:t>
      </w:r>
      <w:r>
        <w:t>等纳入年度考核体系，鼓励加强门诊和慢性病医疗管理，优化资源结构。</w:t>
      </w:r>
    </w:p>
    <w:p>
      <w:pPr>
        <w:pStyle w:val="3"/>
      </w:pPr>
      <w:r>
        <w:t>（一）门诊住院服务结构考核指标</w:t>
      </w:r>
    </w:p>
    <w:p>
      <w:pPr>
        <w:pStyle w:val="11"/>
        <w:ind w:firstLine="420"/>
      </w:pPr>
      <w:r>
        <w:rPr>
          <w:spacing w:val="1"/>
        </w:rPr>
        <w:t>1、</w:t>
      </w:r>
      <w:r>
        <w:t>门慢病人住院转化率：要求 ≤ 全市同级机构平均水平的110％。</w:t>
      </w:r>
    </w:p>
    <w:p>
      <w:pPr>
        <w:pStyle w:val="11"/>
        <w:rPr>
          <w:color w:val="auto"/>
          <w:highlight w:val="none"/>
        </w:rPr>
      </w:pPr>
      <w:r>
        <w:rPr>
          <w:rFonts w:hint="eastAsia"/>
          <w:color w:val="auto"/>
          <w:highlight w:val="none"/>
          <w:lang w:val="en-US" w:eastAsia="zh-CN"/>
        </w:rPr>
        <w:t>2、</w:t>
      </w:r>
      <w:r>
        <w:rPr>
          <w:color w:val="auto"/>
          <w:highlight w:val="none"/>
        </w:rPr>
        <w:t>病种服务匹配度评分 ＝ （机构的病</w:t>
      </w:r>
      <w:r>
        <w:rPr>
          <w:rFonts w:hint="eastAsia"/>
          <w:color w:val="auto"/>
          <w:highlight w:val="none"/>
          <w:lang w:val="en-US" w:eastAsia="zh-CN"/>
        </w:rPr>
        <w:t>组</w:t>
      </w:r>
      <w:r>
        <w:rPr>
          <w:color w:val="auto"/>
          <w:highlight w:val="none"/>
        </w:rPr>
        <w:t>结构与辖区外转病</w:t>
      </w:r>
      <w:r>
        <w:rPr>
          <w:rFonts w:hint="eastAsia"/>
          <w:color w:val="auto"/>
          <w:highlight w:val="none"/>
          <w:lang w:val="en-US" w:eastAsia="zh-CN"/>
        </w:rPr>
        <w:t>组</w:t>
      </w:r>
      <w:r>
        <w:rPr>
          <w:color w:val="auto"/>
          <w:highlight w:val="none"/>
        </w:rPr>
        <w:t>重合度 × 50％ ＋ 机构结算的门诊慢性病病种结构与辖区慢性病高发谱重合度 × 50％） × 100％</w:t>
      </w:r>
    </w:p>
    <w:p>
      <w:pPr>
        <w:pStyle w:val="11"/>
        <w:rPr>
          <w:highlight w:val="none"/>
        </w:rPr>
      </w:pPr>
      <w:r>
        <w:rPr>
          <w:rFonts w:hint="eastAsia"/>
          <w:color w:val="auto"/>
          <w:highlight w:val="none"/>
          <w:lang w:val="en-US" w:eastAsia="zh-CN"/>
        </w:rPr>
        <w:t>其中，仅提供门诊服务的定点医疗机构</w:t>
      </w:r>
      <w:r>
        <w:rPr>
          <w:color w:val="auto"/>
          <w:highlight w:val="none"/>
        </w:rPr>
        <w:t>病种服务匹配度评分</w:t>
      </w:r>
      <w:r>
        <w:rPr>
          <w:rFonts w:hint="eastAsia"/>
          <w:color w:val="auto"/>
          <w:highlight w:val="none"/>
          <w:lang w:val="en-US" w:eastAsia="zh-CN"/>
        </w:rPr>
        <w:t>按门诊慢性病病种结构重合度100%计算</w:t>
      </w:r>
    </w:p>
    <w:p>
      <w:pPr>
        <w:pStyle w:val="3"/>
      </w:pPr>
      <w:r>
        <w:t>（二）激励约束机制</w:t>
      </w:r>
    </w:p>
    <w:p>
      <w:pPr>
        <w:pStyle w:val="11"/>
      </w:pPr>
      <w:r>
        <w:t>门诊服务占比达标、慢性病管理效果良好</w:t>
      </w:r>
      <w:r>
        <w:rPr>
          <w:highlight w:val="none"/>
        </w:rPr>
        <w:t>且</w:t>
      </w:r>
      <w:r>
        <w:rPr>
          <w:color w:val="auto"/>
          <w:highlight w:val="none"/>
        </w:rPr>
        <w:t>病种服务匹配度</w:t>
      </w:r>
      <w:r>
        <w:rPr>
          <w:rFonts w:hint="eastAsia"/>
          <w:highlight w:val="none"/>
          <w:lang w:val="en-US" w:eastAsia="zh-CN"/>
        </w:rPr>
        <w:t>评分高于全市平均水平</w:t>
      </w:r>
      <w:r>
        <w:rPr>
          <w:highlight w:val="none"/>
        </w:rPr>
        <w:t>的机构，</w:t>
      </w:r>
      <w:r>
        <w:rPr>
          <w:rFonts w:hint="eastAsia"/>
          <w:highlight w:val="none"/>
          <w:lang w:val="en-US" w:eastAsia="zh-CN"/>
        </w:rPr>
        <w:t>纳入年度考核加分项，并</w:t>
      </w:r>
      <w:r>
        <w:t>在医保基金预付款上给予倾斜。对结构不合理、转化率超标的机构，进行预警和约束。</w:t>
      </w:r>
    </w:p>
    <w:p>
      <w:pPr>
        <w:pStyle w:val="2"/>
        <w:numPr>
          <w:ilvl w:val="0"/>
          <w:numId w:val="1"/>
        </w:numPr>
        <w:topLinePunct w:val="0"/>
        <w:ind w:left="0" w:leftChars="0" w:firstLine="640" w:firstLineChars="0"/>
        <w:rPr>
          <w:b w:val="0"/>
        </w:rPr>
      </w:pPr>
      <w:r>
        <w:t>基金风险防控</w:t>
      </w:r>
    </w:p>
    <w:p>
      <w:pPr>
        <w:pStyle w:val="11"/>
        <w:rPr>
          <w:rFonts w:hint="default"/>
          <w:color w:val="auto"/>
          <w:lang w:val="en-US" w:eastAsia="zh-CN"/>
        </w:rPr>
      </w:pPr>
      <w:r>
        <w:rPr>
          <w:color w:val="auto"/>
        </w:rPr>
        <w:t>建立当期医保基金风险预警机制</w:t>
      </w:r>
      <w:r>
        <w:rPr>
          <w:rFonts w:hint="eastAsia"/>
          <w:color w:val="auto"/>
          <w:lang w:eastAsia="zh-CN"/>
        </w:rPr>
        <w:t>，</w:t>
      </w:r>
      <w:r>
        <w:rPr>
          <w:rFonts w:hint="default"/>
          <w:color w:val="auto"/>
          <w:lang w:val="en-US" w:eastAsia="zh-CN"/>
        </w:rPr>
        <w:t>收到市级及以上医保部门基金运行预警函的，除国家、省、市另有要求外，原则上不再新增定点医药机构。</w:t>
      </w:r>
    </w:p>
    <w:p>
      <w:pPr>
        <w:pStyle w:val="11"/>
        <w:rPr>
          <w:color w:val="auto"/>
        </w:rPr>
      </w:pPr>
      <w:r>
        <w:rPr>
          <w:color w:val="auto"/>
        </w:rPr>
        <w:t>当</w:t>
      </w:r>
      <w:r>
        <w:rPr>
          <w:rFonts w:hint="eastAsia"/>
          <w:color w:val="auto"/>
          <w:lang w:val="en-US" w:eastAsia="zh-CN"/>
        </w:rPr>
        <w:t>全市</w:t>
      </w:r>
      <w:r>
        <w:rPr>
          <w:color w:val="auto"/>
        </w:rPr>
        <w:t>基金</w:t>
      </w:r>
      <w:r>
        <w:rPr>
          <w:rFonts w:hint="eastAsia"/>
          <w:color w:val="auto"/>
          <w:lang w:val="en-US" w:eastAsia="zh-CN"/>
        </w:rPr>
        <w:t>可</w:t>
      </w:r>
      <w:r>
        <w:rPr>
          <w:color w:val="auto"/>
        </w:rPr>
        <w:t>支付</w:t>
      </w:r>
      <w:r>
        <w:rPr>
          <w:rFonts w:hint="eastAsia"/>
          <w:color w:val="auto"/>
          <w:lang w:val="en-US" w:eastAsia="zh-CN"/>
        </w:rPr>
        <w:t>月数低于9个月</w:t>
      </w:r>
      <w:r>
        <w:rPr>
          <w:color w:val="auto"/>
        </w:rPr>
        <w:t>时，可暂停</w:t>
      </w:r>
      <w:r>
        <w:rPr>
          <w:rFonts w:hint="eastAsia"/>
          <w:color w:val="auto"/>
          <w:lang w:val="en-US" w:eastAsia="zh-CN"/>
        </w:rPr>
        <w:t>全市</w:t>
      </w:r>
      <w:r>
        <w:rPr>
          <w:color w:val="auto"/>
        </w:rPr>
        <w:t>新增</w:t>
      </w:r>
      <w:r>
        <w:rPr>
          <w:rFonts w:hint="eastAsia"/>
          <w:color w:val="auto"/>
          <w:lang w:val="en-US" w:eastAsia="zh-CN"/>
        </w:rPr>
        <w:t>床位和医疗科目的医保备案审批，同时暂停</w:t>
      </w:r>
      <w:r>
        <w:rPr>
          <w:color w:val="auto"/>
        </w:rPr>
        <w:t>住院类医疗机构和专科类门诊部（</w:t>
      </w:r>
      <w:r>
        <w:rPr>
          <w:rFonts w:hint="eastAsia"/>
          <w:color w:val="auto"/>
          <w:lang w:val="en-US" w:eastAsia="zh-CN"/>
        </w:rPr>
        <w:t>基层中医门诊、特殊科目因地域结构除外</w:t>
      </w:r>
      <w:r>
        <w:rPr>
          <w:color w:val="auto"/>
        </w:rPr>
        <w:t>）的定点准入</w:t>
      </w:r>
      <w:r>
        <w:rPr>
          <w:rFonts w:hint="eastAsia"/>
          <w:color w:val="auto"/>
          <w:lang w:eastAsia="zh-CN"/>
        </w:rPr>
        <w:t>，</w:t>
      </w:r>
      <w:r>
        <w:rPr>
          <w:color w:val="auto"/>
        </w:rPr>
        <w:t>强化现有定点机构监管，防范基金流失风险。</w:t>
      </w:r>
    </w:p>
    <w:p>
      <w:pPr>
        <w:pStyle w:val="11"/>
        <w:rPr>
          <w:rFonts w:hint="eastAsia"/>
          <w:color w:val="auto"/>
          <w:lang w:val="en-US" w:eastAsia="zh-CN"/>
        </w:rPr>
      </w:pPr>
      <w:r>
        <w:rPr>
          <w:rFonts w:hint="eastAsia"/>
          <w:color w:val="auto"/>
          <w:lang w:val="en-US" w:eastAsia="zh-CN"/>
        </w:rPr>
        <w:t>全市住院率高于全区平均水平时，</w:t>
      </w:r>
      <w:r>
        <w:rPr>
          <w:color w:val="auto"/>
        </w:rPr>
        <w:t>立即启动基金调节系数（附件1），相应收紧配置阈值，</w:t>
      </w:r>
      <w:r>
        <w:rPr>
          <w:rFonts w:hint="eastAsia"/>
          <w:color w:val="auto"/>
          <w:lang w:val="en-US" w:eastAsia="zh-CN"/>
        </w:rPr>
        <w:t>评估医保基金风险较高时可暂停所有新增审批。</w:t>
      </w:r>
    </w:p>
    <w:p>
      <w:pPr>
        <w:pStyle w:val="2"/>
        <w:numPr>
          <w:ilvl w:val="0"/>
          <w:numId w:val="1"/>
        </w:numPr>
        <w:topLinePunct w:val="0"/>
        <w:ind w:left="0" w:leftChars="0" w:firstLine="640" w:firstLineChars="0"/>
        <w:rPr>
          <w:b w:val="0"/>
          <w:color w:val="auto"/>
        </w:rPr>
      </w:pPr>
      <w:r>
        <w:rPr>
          <w:color w:val="auto"/>
        </w:rPr>
        <w:t>动态监测与调整机制</w:t>
      </w:r>
    </w:p>
    <w:p>
      <w:pPr>
        <w:pStyle w:val="3"/>
        <w:rPr>
          <w:color w:val="auto"/>
        </w:rPr>
      </w:pPr>
      <w:r>
        <w:rPr>
          <w:color w:val="auto"/>
        </w:rPr>
        <w:t>（一）监测指标体系</w:t>
      </w:r>
    </w:p>
    <w:p>
      <w:pPr>
        <w:pStyle w:val="11"/>
      </w:pPr>
      <w:r>
        <w:rPr>
          <w:color w:val="auto"/>
        </w:rPr>
        <w:t>建立涵盖服务量、费用、质量、资源结</w:t>
      </w:r>
      <w:r>
        <w:t>构符合度等核心指标的动态监测体系。</w:t>
      </w:r>
    </w:p>
    <w:p>
      <w:pPr>
        <w:pStyle w:val="3"/>
      </w:pPr>
      <w:r>
        <w:t>（二）</w:t>
      </w:r>
      <w:r>
        <w:rPr>
          <w:rFonts w:hint="eastAsia"/>
          <w:lang w:val="en-US" w:eastAsia="zh-CN"/>
        </w:rPr>
        <w:t>基金使用</w:t>
      </w:r>
      <w:r>
        <w:t>风险评估</w:t>
      </w:r>
    </w:p>
    <w:p>
      <w:pPr>
        <w:pStyle w:val="11"/>
        <w:rPr>
          <w:rFonts w:hint="eastAsia"/>
        </w:rPr>
      </w:pPr>
      <w:r>
        <w:t>建立“</w:t>
      </w:r>
      <w:r>
        <w:rPr>
          <w:rFonts w:hint="eastAsia"/>
          <w:lang w:val="en-US" w:eastAsia="zh-CN"/>
        </w:rPr>
        <w:t>定点医药机构</w:t>
      </w:r>
      <w:r>
        <w:t>风险评估模型”（附件2），每半年对已定点机构进行计算评估。</w:t>
      </w:r>
      <w:r>
        <w:rPr>
          <w:rFonts w:hint="eastAsia"/>
        </w:rPr>
        <w:t>根据评估得分，将机构划分为低风险、中风险、高风险三个等级，并采取相应的监管措施。当定点医疗机构的年度出院人次与其医保备案床位数严重不匹配，可能反映资源错配或服务行为异常时，直接将其风险等级设为高风险，</w:t>
      </w:r>
      <w:r>
        <w:rPr>
          <w:rFonts w:hint="eastAsia"/>
          <w:lang w:val="en-US" w:eastAsia="zh-CN"/>
        </w:rPr>
        <w:t>医保基金监管</w:t>
      </w:r>
      <w:r>
        <w:rPr>
          <w:rFonts w:hint="eastAsia"/>
        </w:rPr>
        <w:t>启动专项调查程序。</w:t>
      </w:r>
    </w:p>
    <w:p>
      <w:pPr>
        <w:pStyle w:val="11"/>
        <w:rPr>
          <w:rFonts w:hint="default" w:eastAsia="仿宋_GB2312"/>
          <w:lang w:val="en-US" w:eastAsia="zh-CN"/>
        </w:rPr>
      </w:pPr>
      <w:r>
        <w:rPr>
          <w:rFonts w:hint="eastAsia"/>
          <w:lang w:val="en-US" w:eastAsia="zh-CN"/>
        </w:rPr>
        <w:t>本通知自下发之日起执行，之后国家、自治区有新的规定从其规定。</w:t>
      </w:r>
    </w:p>
    <w:p>
      <w:pPr>
        <w:pStyle w:val="2"/>
        <w:numPr>
          <w:ilvl w:val="0"/>
          <w:numId w:val="0"/>
        </w:numPr>
        <w:topLinePunct w:val="0"/>
        <w:ind w:left="640" w:leftChars="0"/>
        <w:rPr>
          <w:rFonts w:hint="eastAsia" w:ascii="仿宋_GB2312" w:hAnsi="仿宋_GB2312" w:eastAsia="仿宋_GB2312" w:cs="仿宋_GB2312"/>
          <w:spacing w:val="-6"/>
          <w:kern w:val="0"/>
          <w:sz w:val="32"/>
          <w:szCs w:val="32"/>
          <w:lang w:val="en-US" w:eastAsia="zh-CN"/>
        </w:rPr>
      </w:pPr>
    </w:p>
    <w:p>
      <w:pPr>
        <w:pStyle w:val="2"/>
        <w:numPr>
          <w:ilvl w:val="0"/>
          <w:numId w:val="0"/>
        </w:numPr>
        <w:topLinePunct w:val="0"/>
        <w:ind w:left="640" w:leftChars="0"/>
        <w:rPr>
          <w:rFonts w:hint="default"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spacing w:val="-6"/>
          <w:kern w:val="0"/>
          <w:sz w:val="32"/>
          <w:szCs w:val="32"/>
          <w:lang w:val="en-US" w:eastAsia="zh-CN"/>
        </w:rPr>
        <w:t>附件：1.区域医药机构配置阈值计算模型</w:t>
      </w:r>
    </w:p>
    <w:p>
      <w:pPr>
        <w:pStyle w:val="11"/>
        <w:numPr>
          <w:ilvl w:val="0"/>
          <w:numId w:val="0"/>
        </w:numPr>
        <w:ind w:firstLine="1540" w:firstLineChars="500"/>
        <w:rPr>
          <w:rFonts w:hint="eastAsia" w:ascii="仿宋_GB2312" w:hAnsi="仿宋_GB2312" w:eastAsia="仿宋_GB2312" w:cs="仿宋_GB2312"/>
          <w:spacing w:val="-6"/>
          <w:kern w:val="0"/>
          <w:sz w:val="32"/>
          <w:szCs w:val="32"/>
          <w:lang w:val="en-US" w:eastAsia="zh-CN"/>
        </w:rPr>
      </w:pPr>
      <w:r>
        <w:rPr>
          <w:rFonts w:hint="eastAsia" w:cs="仿宋_GB2312"/>
          <w:spacing w:val="-6"/>
          <w:kern w:val="0"/>
          <w:sz w:val="32"/>
          <w:szCs w:val="32"/>
          <w:lang w:val="en-US" w:eastAsia="zh-CN"/>
        </w:rPr>
        <w:t>2.</w:t>
      </w:r>
      <w:r>
        <w:rPr>
          <w:rFonts w:hint="eastAsia" w:ascii="仿宋_GB2312" w:hAnsi="仿宋_GB2312" w:eastAsia="仿宋_GB2312" w:cs="仿宋_GB2312"/>
          <w:spacing w:val="-6"/>
          <w:kern w:val="0"/>
          <w:sz w:val="32"/>
          <w:szCs w:val="32"/>
          <w:lang w:val="en-US" w:eastAsia="zh-CN"/>
        </w:rPr>
        <w:t>定点医药机构风险评估模型</w:t>
      </w:r>
    </w:p>
    <w:p>
      <w:pPr>
        <w:pStyle w:val="11"/>
        <w:numPr>
          <w:ilvl w:val="0"/>
          <w:numId w:val="0"/>
        </w:numPr>
        <w:ind w:left="1356" w:leftChars="0"/>
        <w:rPr>
          <w:rFonts w:hint="default" w:ascii="仿宋_GB2312" w:hAnsi="仿宋_GB2312" w:eastAsia="仿宋_GB2312" w:cs="仿宋_GB2312"/>
          <w:spacing w:val="-6"/>
          <w:kern w:val="0"/>
          <w:sz w:val="32"/>
          <w:szCs w:val="32"/>
          <w:lang w:val="en-US" w:eastAsia="zh-CN"/>
        </w:rPr>
      </w:pPr>
    </w:p>
    <w:p>
      <w:pPr>
        <w:pStyle w:val="11"/>
        <w:numPr>
          <w:ilvl w:val="0"/>
          <w:numId w:val="0"/>
        </w:numPr>
        <w:ind w:firstLine="4620" w:firstLineChars="1500"/>
        <w:rPr>
          <w:rFonts w:hint="eastAsia" w:cs="仿宋_GB2312"/>
          <w:spacing w:val="-6"/>
          <w:kern w:val="0"/>
          <w:sz w:val="32"/>
          <w:szCs w:val="32"/>
          <w:lang w:val="en-US" w:eastAsia="zh-CN"/>
        </w:rPr>
      </w:pPr>
      <w:r>
        <w:rPr>
          <w:rFonts w:hint="eastAsia" w:cs="仿宋_GB2312"/>
          <w:spacing w:val="-6"/>
          <w:kern w:val="0"/>
          <w:sz w:val="32"/>
          <w:szCs w:val="32"/>
          <w:lang w:val="en-US" w:eastAsia="zh-CN"/>
        </w:rPr>
        <w:t>玉林市医疗保障局</w:t>
      </w:r>
    </w:p>
    <w:p>
      <w:pPr>
        <w:pStyle w:val="11"/>
        <w:numPr>
          <w:ilvl w:val="0"/>
          <w:numId w:val="0"/>
        </w:numPr>
        <w:ind w:firstLine="4620" w:firstLineChars="1500"/>
        <w:rPr>
          <w:rFonts w:hint="default" w:cs="仿宋_GB2312"/>
          <w:spacing w:val="-6"/>
          <w:kern w:val="0"/>
          <w:sz w:val="32"/>
          <w:szCs w:val="32"/>
          <w:lang w:val="en-US" w:eastAsia="zh-CN"/>
        </w:rPr>
      </w:pPr>
      <w:r>
        <w:rPr>
          <w:rFonts w:hint="eastAsia" w:cs="仿宋_GB2312"/>
          <w:spacing w:val="-6"/>
          <w:kern w:val="0"/>
          <w:sz w:val="32"/>
          <w:szCs w:val="32"/>
          <w:lang w:val="en-US" w:eastAsia="zh-CN"/>
        </w:rPr>
        <w:t>2025年 月  日</w:t>
      </w:r>
    </w:p>
    <w:p>
      <w:pPr>
        <w:pStyle w:val="11"/>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r>
        <w:t>附件1</w:t>
      </w:r>
    </w:p>
    <w:p>
      <w:pPr>
        <w:pStyle w:val="15"/>
        <w:bidi w:val="0"/>
      </w:pPr>
      <w:r>
        <w:t>区域医药机构配置阈值计算模型</w:t>
      </w:r>
    </w:p>
    <w:p>
      <w:pPr>
        <w:pStyle w:val="3"/>
      </w:pPr>
      <w:r>
        <w:rPr>
          <w:rFonts w:hint="eastAsia"/>
          <w:lang w:val="en-US" w:eastAsia="zh-CN"/>
        </w:rPr>
        <w:t>(一）</w:t>
      </w:r>
      <w:r>
        <w:t>区域床位总需求测算</w:t>
      </w:r>
    </w:p>
    <w:p>
      <w:pPr>
        <w:pStyle w:val="11"/>
      </w:pPr>
      <w:r>
        <w:rPr>
          <w:spacing w:val="-2"/>
        </w:rPr>
        <w:t>根据国家文件，区域床位配置以“千人床位数”为基准进</w:t>
      </w:r>
      <w:r>
        <w:rPr>
          <w:spacing w:val="-6"/>
        </w:rPr>
        <w:t>行</w:t>
      </w:r>
      <w:r>
        <w:t>测算。</w:t>
      </w:r>
    </w:p>
    <w:p>
      <w:pPr>
        <w:pStyle w:val="4"/>
        <w:numPr>
          <w:ilvl w:val="0"/>
          <w:numId w:val="0"/>
        </w:numPr>
        <w:topLinePunct w:val="0"/>
        <w:ind w:left="640" w:leftChars="0"/>
        <w:rPr>
          <w:b w:val="0"/>
        </w:rPr>
      </w:pPr>
      <w:r>
        <w:rPr>
          <w:rFonts w:hint="eastAsia"/>
          <w:lang w:val="en-US" w:eastAsia="zh-CN"/>
        </w:rPr>
        <w:t>1、</w:t>
      </w:r>
      <w:r>
        <w:t>核心公式</w:t>
      </w:r>
    </w:p>
    <w:p>
      <w:pPr>
        <w:pStyle w:val="11"/>
        <w:spacing w:line="240" w:lineRule="auto"/>
        <w:ind w:firstLine="0" w:firstLineChars="0"/>
      </w:pPr>
      <m:oMath>
        <m:m>
          <m:mPr>
            <m:mcs>
              <m:mc>
                <m:mcPr>
                  <m:count m:val="1"/>
                  <m:mcJc m:val="right"/>
                </m:mcPr>
              </m:mc>
              <m:mc>
                <m:mcPr>
                  <m:count m:val="1"/>
                  <m:mcJc m:val="left"/>
                </m:mcPr>
              </m:mc>
            </m:mcs>
            <m:cGp m:val="60"/>
            <m:cGpRule m:val="3"/>
            <m:plcHide m:val="true"/>
            <m:ctrlPr>
              <w:rPr>
                <w:rFonts w:hint="default" w:ascii="Cambria Math" w:hAnsi="Cambria Math"/>
              </w:rPr>
            </m:ctrlPr>
          </m:mPr>
          <m:mr>
            <m:e>
              <m:r>
                <m:rPr>
                  <m:sty m:val="p"/>
                </m:rPr>
                <w:rPr>
                  <w:rFonts w:hint="eastAsia" w:ascii="Cambria Math" w:hAnsi="Cambria Math"/>
                  <w:lang w:val="en-US" w:eastAsia="zh-CN"/>
                </w:rPr>
                <m:t>需要的</m:t>
              </m:r>
              <m:r>
                <m:rPr>
                  <m:sty m:val="p"/>
                </m:rPr>
                <w:rPr>
                  <w:rFonts w:hint="default" w:ascii="Cambria Math" w:hAnsi="Cambria Math"/>
                </w:rPr>
                <m:t>千人床位数</m:t>
              </m:r>
              <m:ctrlPr>
                <w:rPr>
                  <w:rFonts w:ascii="Cambria Math" w:hAnsi="Cambria Math"/>
                </w:rPr>
              </m:ctrlPr>
            </m:e>
            <m:e>
              <m:r>
                <m:rPr>
                  <m:sty m:val="p"/>
                </m:rPr>
                <w:rPr>
                  <w:rFonts w:hint="default" w:ascii="Cambria Math" w:hAnsi="Cambria Math"/>
                </w:rPr>
                <m:t>=</m:t>
              </m:r>
              <m:f>
                <m:fPr>
                  <m:ctrlPr>
                    <w:rPr>
                      <w:rFonts w:hint="default" w:ascii="Cambria Math" w:hAnsi="Cambria Math"/>
                    </w:rPr>
                  </m:ctrlPr>
                </m:fPr>
                <m:num>
                  <m:nary>
                    <m:naryPr>
                      <m:chr m:val="∑"/>
                      <m:limLoc m:val="undOvr"/>
                      <m:subHide m:val="true"/>
                      <m:supHide m:val="true"/>
                      <m:ctrlPr>
                        <w:rPr>
                          <w:rFonts w:hint="default" w:ascii="Cambria Math" w:hAnsi="Cambria Math"/>
                        </w:rPr>
                      </m:ctrlPr>
                    </m:naryPr>
                    <m:sub>
                      <m:ctrlPr>
                        <w:rPr>
                          <w:rFonts w:ascii="Cambria Math" w:hAnsi="Cambria Math"/>
                        </w:rPr>
                      </m:ctrlPr>
                    </m:sub>
                    <m:sup>
                      <m:ctrlPr>
                        <w:rPr>
                          <w:rFonts w:ascii="Cambria Math" w:hAnsi="Cambria Math"/>
                        </w:rPr>
                      </m:ctrlPr>
                    </m:sup>
                    <m:e>
                      <m:r>
                        <m:rPr>
                          <m:sty m:val="p"/>
                        </m:rPr>
                        <w:rPr>
                          <w:rFonts w:hint="default" w:ascii="Cambria Math" w:hAnsi="Cambria Math"/>
                        </w:rPr>
                        <m:t>(</m:t>
                      </m:r>
                      <m:ctrlPr>
                        <w:rPr>
                          <w:rFonts w:ascii="Cambria Math" w:hAnsi="Cambria Math"/>
                        </w:rPr>
                      </m:ctrlPr>
                    </m:e>
                  </m:nary>
                  <m:r>
                    <m:rPr>
                      <m:sty m:val="p"/>
                    </m:rPr>
                    <w:rPr>
                      <w:rFonts w:hint="default" w:ascii="Cambria Math" w:hAnsi="Cambria Math"/>
                    </w:rPr>
                    <m:t>各年龄段住院率×年龄段参保人数)×平均住院日×1000</m:t>
                  </m:r>
                  <m:ctrlPr>
                    <w:rPr>
                      <w:rFonts w:hint="default" w:ascii="Cambria Math" w:hAnsi="Cambria Math"/>
                    </w:rPr>
                  </m:ctrlPr>
                </m:num>
                <m:den>
                  <m:r>
                    <m:rPr>
                      <m:sty m:val="p"/>
                    </m:rPr>
                    <w:rPr>
                      <w:rFonts w:hint="default" w:ascii="Cambria Math" w:hAnsi="Cambria Math"/>
                    </w:rPr>
                    <m:t>病床使用率×365×参保人数</m:t>
                  </m:r>
                  <m:ctrlPr>
                    <w:rPr>
                      <w:rFonts w:hint="default" w:ascii="Cambria Math" w:hAnsi="Cambria Math"/>
                    </w:rPr>
                  </m:ctrlPr>
                </m:den>
              </m:f>
              <m:ctrlPr>
                <w:rPr>
                  <w:rFonts w:hint="default" w:ascii="Cambria Math" w:hAnsi="Cambria Math"/>
                </w:rPr>
              </m:ctrlPr>
            </m:e>
          </m:mr>
          <m:mr>
            <m:e>
              <m:ctrlPr>
                <w:rPr>
                  <w:rFonts w:hint="default" w:ascii="Cambria Math" w:hAnsi="Cambria Math"/>
                </w:rPr>
              </m:ctrlPr>
            </m:e>
            <m:e>
              <m:r>
                <m:rPr>
                  <m:sty m:val="p"/>
                </m:rPr>
                <w:rPr>
                  <w:rFonts w:hint="default" w:ascii="Cambria Math" w:hAnsi="Cambria Math"/>
                </w:rPr>
                <m:t>×</m:t>
              </m:r>
              <m:r>
                <m:rPr>
                  <m:sty m:val="p"/>
                </m:rPr>
                <w:rPr>
                  <w:rFonts w:hint="eastAsia" w:ascii="Cambria Math" w:hAnsi="Cambria Math"/>
                  <w:lang w:val="en-US" w:eastAsia="zh-CN"/>
                </w:rPr>
                <m:t>患者</m:t>
              </m:r>
              <m:r>
                <m:rPr>
                  <m:sty m:val="p"/>
                </m:rPr>
                <w:rPr>
                  <w:rFonts w:hint="default" w:ascii="Cambria Math" w:hAnsi="Cambria Math"/>
                </w:rPr>
                <m:t>调节系数×基金调节系数</m:t>
              </m:r>
              <m:ctrlPr>
                <w:rPr>
                  <w:rFonts w:hint="default" w:ascii="Cambria Math" w:hAnsi="Cambria Math"/>
                </w:rPr>
              </m:ctrlPr>
            </m:e>
          </m:mr>
        </m:m>
      </m:oMath>
      <w:r>
        <w:rPr>
          <w:rFonts w:hint="default" w:ascii="Cambria Math" w:hAnsi="Cambria Math"/>
        </w:rPr>
        <w:t xml:space="preserve"> </w:t>
      </w:r>
    </w:p>
    <w:p>
      <w:pPr>
        <w:pStyle w:val="11"/>
      </w:pPr>
    </w:p>
    <w:p>
      <w:pPr>
        <w:pStyle w:val="4"/>
        <w:numPr>
          <w:ilvl w:val="0"/>
          <w:numId w:val="0"/>
        </w:numPr>
        <w:topLinePunct w:val="0"/>
        <w:ind w:left="640" w:leftChars="0"/>
        <w:rPr>
          <w:b w:val="0"/>
        </w:rPr>
      </w:pPr>
      <w:r>
        <w:rPr>
          <w:rFonts w:hint="eastAsia"/>
          <w:lang w:val="en-US" w:eastAsia="zh-CN"/>
        </w:rPr>
        <w:t>2、</w:t>
      </w:r>
      <w:r>
        <w:t>指标定义与计算公式</w:t>
      </w:r>
    </w:p>
    <w:p>
      <w:pPr>
        <w:pStyle w:val="11"/>
      </w:pPr>
      <w:r>
        <w:rPr>
          <w:rFonts w:hint="eastAsia"/>
          <w:lang w:val="en-US" w:eastAsia="zh-CN"/>
        </w:rPr>
        <w:t>各年龄段</w:t>
      </w:r>
      <w:r>
        <w:t>住院率（‰） ＝ （</w:t>
      </w:r>
      <w:r>
        <w:rPr>
          <w:rFonts w:hint="eastAsia"/>
          <w:lang w:val="en-US" w:eastAsia="zh-CN"/>
        </w:rPr>
        <w:t>该年龄段</w:t>
      </w:r>
      <w:r>
        <w:t>年度医保住院总人次 ／ 参保人数） × 1000</w:t>
      </w:r>
    </w:p>
    <w:p>
      <w:pPr>
        <w:pStyle w:val="11"/>
      </w:pPr>
      <w:r>
        <w:t>平均住院日（天） ＝ 年度医保住院患者总住院床日数 ／ 年度医保住院总人次</w:t>
      </w:r>
    </w:p>
    <w:p>
      <w:pPr>
        <w:pStyle w:val="11"/>
      </w:pPr>
      <w:r>
        <w:t>病床使用率（％） ＝ （年度实际占用总床日数 ／ （年平均</w:t>
      </w:r>
      <w:r>
        <w:rPr>
          <w:rFonts w:hint="eastAsia"/>
          <w:lang w:val="en-US" w:eastAsia="zh-CN"/>
        </w:rPr>
        <w:t>医保备案审批</w:t>
      </w:r>
      <w:r>
        <w:t>床位数 × 365）） × 100％</w:t>
      </w:r>
    </w:p>
    <w:p>
      <w:pPr>
        <w:pStyle w:val="11"/>
      </w:pPr>
      <w:r>
        <w:t>患者调节系数：反映患者跨区域流动对本地床位需求的影响。</w:t>
      </w:r>
    </w:p>
    <w:p>
      <w:pPr>
        <w:pStyle w:val="11"/>
      </w:pPr>
      <w:r>
        <w:t>患者调节系数 ＝ （本地参保人在本地出院人次 － 本地参保人在异地出院人次 ＋ 异地参保人在本地出院人次） ／ 本地参保人在本地出院人次</w:t>
      </w:r>
    </w:p>
    <w:p>
      <w:pPr>
        <w:pStyle w:val="11"/>
      </w:pPr>
      <w:r>
        <w:t>基金调节系数：根据医保基金支付能力动态调整。可结合基金加权可支付月数设定，低于警戒线时系数小于1，高于安全线时系数可大于或等于1。</w:t>
      </w:r>
    </w:p>
    <w:p>
      <w:pPr>
        <w:pStyle w:val="3"/>
      </w:pPr>
      <w:r>
        <w:rPr>
          <w:rFonts w:hint="eastAsia"/>
          <w:lang w:eastAsia="zh-CN"/>
        </w:rPr>
        <w:t>（</w:t>
      </w:r>
      <w:r>
        <w:rPr>
          <w:rFonts w:hint="eastAsia"/>
          <w:lang w:val="en-US" w:eastAsia="zh-CN"/>
        </w:rPr>
        <w:t>二</w:t>
      </w:r>
      <w:r>
        <w:rPr>
          <w:rFonts w:hint="eastAsia"/>
          <w:lang w:eastAsia="zh-CN"/>
        </w:rPr>
        <w:t>）</w:t>
      </w:r>
      <w:r>
        <w:t>分级配置结构</w:t>
      </w:r>
    </w:p>
    <w:p>
      <w:pPr>
        <w:pStyle w:val="11"/>
      </w:pPr>
      <w:r>
        <w:rPr>
          <w:rFonts w:hint="eastAsia"/>
          <w:lang w:val="en-US" w:eastAsia="zh-CN"/>
        </w:rPr>
        <w:t>1、</w:t>
      </w:r>
      <w:r>
        <w:t>根据</w:t>
      </w:r>
      <w:r>
        <w:rPr>
          <w:rFonts w:hint="eastAsia"/>
          <w:lang w:eastAsia="zh-CN"/>
        </w:rPr>
        <w:t>辖</w:t>
      </w:r>
      <w:bookmarkStart w:id="0" w:name="_GoBack"/>
      <w:bookmarkEnd w:id="0"/>
      <w:r>
        <w:t>区人口规模，按以下比例分配各级医院床位：</w:t>
      </w:r>
    </w:p>
    <w:p>
      <w:pPr>
        <w:pStyle w:val="11"/>
      </w:pPr>
      <w:r>
        <w:t>100万人以下：三级：二级：一级 ＝ 3：5：2</w:t>
      </w:r>
    </w:p>
    <w:p>
      <w:pPr>
        <w:pStyle w:val="11"/>
      </w:pPr>
      <w:r>
        <w:t>100万–300万：三级：二级：一级 ＝ 4：4：2</w:t>
      </w:r>
    </w:p>
    <w:p>
      <w:pPr>
        <w:pStyle w:val="11"/>
      </w:pPr>
      <w:r>
        <w:t>300万–500万：三级：二级：一级 ＝ 5：3：2</w:t>
      </w:r>
    </w:p>
    <w:p>
      <w:pPr>
        <w:pStyle w:val="11"/>
      </w:pPr>
      <w:r>
        <w:t>500万以上：三级：二级：一级 ＝ 6：2：2</w:t>
      </w:r>
    </w:p>
    <w:p>
      <w:pPr>
        <w:pStyle w:val="3"/>
      </w:pPr>
      <w:r>
        <w:rPr>
          <w:rFonts w:hint="eastAsia"/>
          <w:lang w:val="en-US" w:eastAsia="zh-CN"/>
        </w:rPr>
        <w:t>2</w:t>
      </w:r>
      <w:r>
        <w:t>、医疗机构数量阈值</w:t>
      </w:r>
    </w:p>
    <w:p>
      <w:pPr>
        <w:pStyle w:val="11"/>
      </w:pPr>
      <w:r>
        <w:t>根据床位总需求和分级比例，结合各类机构平均床位数，计算各等级医疗机构数量阈值：</w:t>
      </w:r>
    </w:p>
    <w:p>
      <w:pPr>
        <w:pStyle w:val="11"/>
      </w:pPr>
      <w:r>
        <w:t>某等级医疗机构数量阈值 ＝ 区域</w:t>
      </w:r>
      <m:oMath>
        <m:r>
          <m:rPr>
            <m:sty m:val="p"/>
          </m:rPr>
          <w:rPr>
            <w:rFonts w:hint="eastAsia" w:ascii="Cambria Math" w:hAnsi="Cambria Math"/>
            <w:lang w:val="en-US" w:eastAsia="zh-CN"/>
          </w:rPr>
          <m:t>需要的</m:t>
        </m:r>
        <m:r>
          <m:rPr>
            <m:sty m:val="p"/>
          </m:rPr>
          <w:rPr>
            <w:rFonts w:hint="default" w:ascii="Cambria Math" w:hAnsi="Cambria Math"/>
          </w:rPr>
          <m:t>千人床位数</m:t>
        </m:r>
      </m:oMath>
      <w:r>
        <w:t xml:space="preserve"> × 该等级床位占比</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18"/>
        <w:rPr>
          <w:rFonts w:hint="eastAsia"/>
          <w:lang w:eastAsia="zh-CN"/>
        </w:rPr>
      </w:pPr>
      <mc:AlternateContent>
        <mc:Choice Requires="wpsCustomData">
          <wpsCustomData:docfieldStart id="1" docfieldname="附件_1" hidden="false" print="true" readonly="false" index="1"/>
        </mc:Choice>
      </mc:AlternateContent>
      <w:r>
        <w:t>附件2</w:t>
      </w:r>
    </w:p>
    <w:p>
      <w:pPr>
        <w:pStyle w:val="15"/>
        <w:bidi w:val="0"/>
      </w:pPr>
      <w:r>
        <w:t>定点医药机构风险评估模型</w:t>
      </w:r>
      <mc:AlternateContent>
        <mc:Choice Requires="wpsCustomData">
          <wpsCustomData:docfieldEnd id="1"/>
        </mc:Choice>
      </mc:AlternateContent>
    </w:p>
    <w:p>
      <w:pPr>
        <w:pStyle w:val="2"/>
      </w:pPr>
      <w:r>
        <w:t>一、 评估指标体系与评分方法</w:t>
      </w:r>
    </w:p>
    <w:p>
      <w:pPr>
        <w:pStyle w:val="3"/>
      </w:pPr>
      <w:r>
        <w:t>（一）医疗服务能力与有效性（满分</w:t>
      </w:r>
      <w:r>
        <w:rPr>
          <w:rFonts w:hint="eastAsia"/>
          <w:lang w:val="en-US" w:eastAsia="zh-CN"/>
        </w:rPr>
        <w:t>30</w:t>
      </w:r>
      <w:r>
        <w:t>分）</w:t>
      </w:r>
    </w:p>
    <w:p>
      <w:pPr>
        <w:pStyle w:val="4"/>
      </w:pPr>
      <w:r>
        <w:t>1、门诊慢性病服务供给合理度（</w:t>
      </w:r>
      <w:r>
        <w:rPr>
          <w:rFonts w:hint="eastAsia"/>
          <w:lang w:val="en-US" w:eastAsia="zh-CN"/>
        </w:rPr>
        <w:t>15</w:t>
      </w:r>
      <w:r>
        <w:t>分）</w:t>
      </w:r>
    </w:p>
    <w:p>
      <w:pPr>
        <w:pStyle w:val="11"/>
      </w:pPr>
      <w:r>
        <w:t>指标定义：机构年</w:t>
      </w:r>
      <w:r>
        <w:rPr>
          <w:rFonts w:hint="eastAsia"/>
          <w:lang w:eastAsia="zh-CN"/>
        </w:rPr>
        <w:t>某个</w:t>
      </w:r>
      <w:r>
        <w:t>门诊慢性病医保结算</w:t>
      </w:r>
      <w:r>
        <w:rPr>
          <w:rFonts w:hint="eastAsia"/>
          <w:lang w:val="en-US" w:eastAsia="zh-CN"/>
        </w:rPr>
        <w:t>人均费用</w:t>
      </w:r>
      <w:r>
        <w:t xml:space="preserve"> ／ 同期本区域同类机构</w:t>
      </w:r>
      <w:r>
        <w:rPr>
          <w:rFonts w:hint="eastAsia"/>
          <w:lang w:eastAsia="zh-CN"/>
        </w:rPr>
        <w:t>同个</w:t>
      </w:r>
      <w:r>
        <w:t>门诊慢性病</w:t>
      </w:r>
      <w:r>
        <w:rPr>
          <w:rFonts w:hint="eastAsia"/>
          <w:lang w:eastAsia="zh-CN"/>
        </w:rPr>
        <w:t>平均</w:t>
      </w:r>
      <w:r>
        <w:t>医保结算</w:t>
      </w:r>
      <w:r>
        <w:rPr>
          <w:rFonts w:hint="eastAsia"/>
          <w:lang w:val="en-US" w:eastAsia="zh-CN"/>
        </w:rPr>
        <w:t>人均费用</w:t>
      </w:r>
      <w:r>
        <w:t>× 100％。此指标用于衡量机构慢性病服务是否处于健康、合理的区间</w:t>
      </w:r>
      <w:r>
        <w:rPr>
          <w:rFonts w:hint="eastAsia"/>
          <w:lang w:eastAsia="zh-CN"/>
        </w:rPr>
        <w:t>（</w:t>
      </w:r>
      <w:r>
        <w:rPr>
          <w:rFonts w:hint="eastAsia"/>
          <w:lang w:val="en-US" w:eastAsia="zh-CN"/>
        </w:rPr>
        <w:t>门诊慢性病同类病种相比</w:t>
      </w:r>
      <w:r>
        <w:rPr>
          <w:rFonts w:hint="eastAsia"/>
          <w:lang w:eastAsia="zh-CN"/>
        </w:rPr>
        <w:t>）</w:t>
      </w:r>
      <w:r>
        <w:t>。</w:t>
      </w:r>
    </w:p>
    <w:p>
      <w:pPr>
        <w:pStyle w:val="11"/>
      </w:pPr>
      <w:r>
        <w:t>评分标准：</w:t>
      </w:r>
    </w:p>
    <w:p>
      <w:pPr>
        <w:pStyle w:val="11"/>
      </w:pPr>
      <w:r>
        <w:t>90％ ≤ 比例 ≤ 120％（理想区间）：得</w:t>
      </w:r>
      <w:r>
        <w:rPr>
          <w:rFonts w:hint="eastAsia"/>
          <w:lang w:val="en-US" w:eastAsia="zh-CN"/>
        </w:rPr>
        <w:t>15</w:t>
      </w:r>
      <w:r>
        <w:t>分。表明服务供给与区域需求匹配良好。</w:t>
      </w:r>
    </w:p>
    <w:p>
      <w:pPr>
        <w:pStyle w:val="11"/>
      </w:pPr>
      <w:r>
        <w:t>70％ ≤ 比例 ＜ 90％或120％ ＜ 比例 ≤ 150％、（关注区间）：得10分。</w:t>
      </w:r>
    </w:p>
    <w:p>
      <w:pPr>
        <w:pStyle w:val="11"/>
      </w:pPr>
      <w:r>
        <w:t>提示可能存在服务轻度不足或服务量异常偏高的风险，需关注其原因。</w:t>
      </w:r>
    </w:p>
    <w:p>
      <w:pPr>
        <w:pStyle w:val="11"/>
      </w:pPr>
      <w:r>
        <w:t>比例 ＜ 70％或比例 ＞ 150％（风险区间）：得0分。</w:t>
      </w:r>
    </w:p>
    <w:p>
      <w:pPr>
        <w:pStyle w:val="11"/>
      </w:pPr>
      <w:r>
        <w:t>＜ 70％：表明服务显著不足，未能有效履行定点职责。</w:t>
      </w:r>
    </w:p>
    <w:p>
      <w:pPr>
        <w:pStyle w:val="11"/>
      </w:pPr>
      <w:r>
        <w:t>＞ 150％</w:t>
      </w:r>
      <w:r>
        <w:rPr>
          <w:rFonts w:hint="eastAsia"/>
          <w:lang w:eastAsia="zh-CN"/>
        </w:rPr>
        <w:t>：</w:t>
      </w:r>
      <w:r>
        <w:t>表明服务量极度异常，存在严重的“诱导就医”、“刷单”或数据造假等高风险。</w:t>
      </w:r>
    </w:p>
    <w:p>
      <w:pPr>
        <w:pStyle w:val="4"/>
      </w:pPr>
      <w:r>
        <w:t>2、服务可及性（</w:t>
      </w:r>
      <w:r>
        <w:rPr>
          <w:rFonts w:hint="eastAsia"/>
          <w:lang w:val="en-US" w:eastAsia="zh-CN"/>
        </w:rPr>
        <w:t>15</w:t>
      </w:r>
      <w:r>
        <w:t>分）</w:t>
      </w:r>
    </w:p>
    <w:p>
      <w:pPr>
        <w:pStyle w:val="11"/>
        <w:ind w:left="638" w:leftChars="304" w:firstLine="0" w:firstLineChars="0"/>
      </w:pPr>
      <w:r>
        <w:t>指标定义</w:t>
      </w:r>
      <w:r>
        <w:rPr>
          <w:rFonts w:hint="eastAsia"/>
          <w:lang w:eastAsia="zh-CN"/>
        </w:rPr>
        <w:t>：</w:t>
      </w:r>
      <w:r>
        <w:t>机构提供的医保目录内</w:t>
      </w:r>
      <w:r>
        <w:rPr>
          <w:rFonts w:hint="eastAsia"/>
          <w:lang w:val="en-US" w:eastAsia="zh-CN"/>
        </w:rPr>
        <w:t>项目金额（特需门诊和病房除外）</w:t>
      </w:r>
      <w:r>
        <w:t>／</w:t>
      </w:r>
      <w:r>
        <w:rPr>
          <w:rFonts w:hint="eastAsia"/>
          <w:lang w:val="en-US" w:eastAsia="zh-CN"/>
        </w:rPr>
        <w:t>机构结算总费用</w:t>
      </w:r>
      <w:r>
        <w:t>评分标准：</w:t>
      </w:r>
    </w:p>
    <w:p>
      <w:pPr>
        <w:pStyle w:val="11"/>
      </w:pPr>
      <w:r>
        <w:t>占比 ≥ 90％：得</w:t>
      </w:r>
      <w:r>
        <w:rPr>
          <w:rFonts w:hint="eastAsia"/>
          <w:lang w:val="en-US" w:eastAsia="zh-CN"/>
        </w:rPr>
        <w:t>15</w:t>
      </w:r>
      <w:r>
        <w:t>分</w:t>
      </w:r>
    </w:p>
    <w:p>
      <w:pPr>
        <w:pStyle w:val="11"/>
      </w:pPr>
      <w:r>
        <w:t>占比在70％ － 90％之间：得10分</w:t>
      </w:r>
    </w:p>
    <w:p>
      <w:pPr>
        <w:pStyle w:val="11"/>
      </w:pPr>
      <w:r>
        <w:t>占比 ＜ 70％：得0分</w:t>
      </w:r>
    </w:p>
    <w:p>
      <w:pPr>
        <w:pStyle w:val="3"/>
      </w:pPr>
      <w:r>
        <w:t>（二）医疗质量与数据规范性（满分</w:t>
      </w:r>
      <w:r>
        <w:rPr>
          <w:rFonts w:hint="eastAsia"/>
          <w:lang w:val="en-US" w:eastAsia="zh-CN"/>
        </w:rPr>
        <w:t>40</w:t>
      </w:r>
      <w:r>
        <w:t>分）</w:t>
      </w:r>
    </w:p>
    <w:p>
      <w:pPr>
        <w:pStyle w:val="4"/>
      </w:pPr>
      <w:r>
        <w:t>1、医保结算清单质量（</w:t>
      </w:r>
      <w:r>
        <w:rPr>
          <w:rFonts w:hint="eastAsia"/>
          <w:lang w:val="en-US" w:eastAsia="zh-CN"/>
        </w:rPr>
        <w:t>20</w:t>
      </w:r>
      <w:r>
        <w:t>分）</w:t>
      </w:r>
    </w:p>
    <w:p>
      <w:pPr>
        <w:pStyle w:val="11"/>
      </w:pPr>
      <w:r>
        <w:t>评分标准：</w:t>
      </w:r>
    </w:p>
    <w:p>
      <w:pPr>
        <w:pStyle w:val="11"/>
      </w:pPr>
      <w:r>
        <w:rPr>
          <w:rFonts w:hint="eastAsia"/>
          <w:lang w:val="en-US" w:eastAsia="zh-CN"/>
        </w:rPr>
        <w:t>医保结算清单质控不通过率</w:t>
      </w:r>
      <w:r>
        <w:t xml:space="preserve"> ≤ 2％：得</w:t>
      </w:r>
      <w:r>
        <w:rPr>
          <w:rFonts w:hint="eastAsia"/>
          <w:lang w:val="en-US" w:eastAsia="zh-CN"/>
        </w:rPr>
        <w:t>20</w:t>
      </w:r>
      <w:r>
        <w:t>分</w:t>
      </w:r>
    </w:p>
    <w:p>
      <w:pPr>
        <w:pStyle w:val="11"/>
      </w:pPr>
      <w:r>
        <w:rPr>
          <w:rFonts w:hint="eastAsia"/>
          <w:lang w:val="en-US" w:eastAsia="zh-CN"/>
        </w:rPr>
        <w:t>医保结算清单质控不通过率</w:t>
      </w:r>
      <w:r>
        <w:t>在2％ － 5％之间：得</w:t>
      </w:r>
      <w:r>
        <w:rPr>
          <w:rFonts w:hint="eastAsia"/>
          <w:lang w:val="en-US" w:eastAsia="zh-CN"/>
        </w:rPr>
        <w:t>10</w:t>
      </w:r>
      <w:r>
        <w:t>分</w:t>
      </w:r>
    </w:p>
    <w:p>
      <w:pPr>
        <w:pStyle w:val="11"/>
        <w:rPr>
          <w:color w:val="auto"/>
        </w:rPr>
      </w:pPr>
      <w:r>
        <w:rPr>
          <w:rFonts w:hint="eastAsia"/>
          <w:color w:val="auto"/>
          <w:lang w:val="en-US" w:eastAsia="zh-CN"/>
        </w:rPr>
        <w:t>医保结算清单质控不通过率</w:t>
      </w:r>
      <w:r>
        <w:rPr>
          <w:color w:val="auto"/>
        </w:rPr>
        <w:t xml:space="preserve"> ＞ 5％：得0分</w:t>
      </w:r>
    </w:p>
    <w:p>
      <w:pPr>
        <w:pStyle w:val="4"/>
        <w:rPr>
          <w:color w:val="auto"/>
        </w:rPr>
      </w:pPr>
      <w:r>
        <w:rPr>
          <w:color w:val="auto"/>
        </w:rPr>
        <w:t>2、</w:t>
      </w:r>
      <w:r>
        <w:rPr>
          <w:rFonts w:hint="eastAsia"/>
          <w:color w:val="auto"/>
          <w:lang w:val="en-US" w:eastAsia="zh-CN"/>
        </w:rPr>
        <w:t>医保服务质量</w:t>
      </w:r>
      <w:r>
        <w:rPr>
          <w:color w:val="auto"/>
        </w:rPr>
        <w:t>（20分）</w:t>
      </w:r>
    </w:p>
    <w:p>
      <w:pPr>
        <w:pStyle w:val="11"/>
        <w:rPr>
          <w:color w:val="auto"/>
        </w:rPr>
      </w:pPr>
      <w:r>
        <w:rPr>
          <w:color w:val="auto"/>
        </w:rPr>
        <w:t>评分标准：</w:t>
      </w:r>
    </w:p>
    <w:p>
      <w:pPr>
        <w:pStyle w:val="11"/>
        <w:rPr>
          <w:color w:val="auto"/>
        </w:rPr>
      </w:pPr>
      <w:r>
        <w:rPr>
          <w:rFonts w:hint="eastAsia"/>
          <w:color w:val="auto"/>
          <w:lang w:val="en-US" w:eastAsia="zh-CN"/>
        </w:rPr>
        <w:t>病例评审规范诊断编码率</w:t>
      </w:r>
      <w:r>
        <w:rPr>
          <w:color w:val="auto"/>
        </w:rPr>
        <w:t xml:space="preserve"> ≥ </w:t>
      </w:r>
      <w:r>
        <w:rPr>
          <w:rFonts w:hint="eastAsia"/>
          <w:color w:val="auto"/>
          <w:lang w:val="en-US" w:eastAsia="zh-CN"/>
        </w:rPr>
        <w:t>80</w:t>
      </w:r>
      <w:r>
        <w:rPr>
          <w:color w:val="auto"/>
        </w:rPr>
        <w:t>％：得20分</w:t>
      </w:r>
    </w:p>
    <w:p>
      <w:pPr>
        <w:pStyle w:val="11"/>
        <w:ind w:firstLine="420"/>
        <w:rPr>
          <w:color w:val="auto"/>
        </w:rPr>
      </w:pPr>
      <w:r>
        <w:rPr>
          <w:rFonts w:hint="eastAsia"/>
          <w:color w:val="auto"/>
          <w:lang w:val="en-US" w:eastAsia="zh-CN"/>
        </w:rPr>
        <w:t>病例评审规范诊断编码率</w:t>
      </w:r>
      <w:r>
        <w:rPr>
          <w:color w:val="auto"/>
          <w:spacing w:val="5"/>
        </w:rPr>
        <w:t>在</w:t>
      </w:r>
      <w:r>
        <w:rPr>
          <w:rFonts w:hint="eastAsia"/>
          <w:color w:val="auto"/>
          <w:spacing w:val="-6"/>
          <w:lang w:val="en-US" w:eastAsia="zh-CN"/>
        </w:rPr>
        <w:t>60</w:t>
      </w:r>
      <w:r>
        <w:rPr>
          <w:color w:val="auto"/>
          <w:spacing w:val="5"/>
        </w:rPr>
        <w:t xml:space="preserve">％ － </w:t>
      </w:r>
      <w:r>
        <w:rPr>
          <w:rFonts w:hint="eastAsia"/>
          <w:color w:val="auto"/>
          <w:spacing w:val="5"/>
          <w:lang w:val="en-US" w:eastAsia="zh-CN"/>
        </w:rPr>
        <w:t>8</w:t>
      </w:r>
      <w:r>
        <w:rPr>
          <w:rFonts w:hint="eastAsia"/>
          <w:color w:val="auto"/>
          <w:spacing w:val="-6"/>
          <w:lang w:val="en-US" w:eastAsia="zh-CN"/>
        </w:rPr>
        <w:t>0</w:t>
      </w:r>
      <w:r>
        <w:rPr>
          <w:color w:val="auto"/>
          <w:spacing w:val="5"/>
        </w:rPr>
        <w:t>％之间：</w:t>
      </w:r>
      <w:r>
        <w:rPr>
          <w:color w:val="auto"/>
          <w:spacing w:val="-44"/>
        </w:rPr>
        <w:t>得</w:t>
      </w:r>
      <w:r>
        <w:rPr>
          <w:color w:val="auto"/>
        </w:rPr>
        <w:t>10分</w:t>
      </w:r>
    </w:p>
    <w:p>
      <w:pPr>
        <w:pStyle w:val="11"/>
        <w:rPr>
          <w:color w:val="auto"/>
        </w:rPr>
      </w:pPr>
      <w:r>
        <w:rPr>
          <w:rFonts w:hint="eastAsia"/>
          <w:color w:val="auto"/>
          <w:lang w:val="en-US" w:eastAsia="zh-CN"/>
        </w:rPr>
        <w:t>病例评审规范诊断编码率</w:t>
      </w:r>
      <w:r>
        <w:rPr>
          <w:color w:val="auto"/>
        </w:rPr>
        <w:t xml:space="preserve"> ＜ </w:t>
      </w:r>
      <w:r>
        <w:rPr>
          <w:rFonts w:hint="eastAsia"/>
          <w:color w:val="auto"/>
          <w:lang w:val="en-US" w:eastAsia="zh-CN"/>
        </w:rPr>
        <w:t>60</w:t>
      </w:r>
      <w:r>
        <w:rPr>
          <w:color w:val="auto"/>
        </w:rPr>
        <w:t>％：得0分</w:t>
      </w:r>
    </w:p>
    <w:p>
      <w:pPr>
        <w:pStyle w:val="3"/>
        <w:rPr>
          <w:rFonts w:hint="eastAsia"/>
        </w:rPr>
      </w:pPr>
      <w:r>
        <w:rPr>
          <w:rFonts w:hint="eastAsia"/>
        </w:rPr>
        <w:t>（三）运营与基金风险（满分</w:t>
      </w:r>
      <w:r>
        <w:rPr>
          <w:rFonts w:hint="eastAsia"/>
          <w:lang w:val="en-US" w:eastAsia="zh-CN"/>
        </w:rPr>
        <w:t>30</w:t>
      </w:r>
      <w:r>
        <w:rPr>
          <w:rFonts w:hint="eastAsia"/>
        </w:rPr>
        <w:t>分）</w:t>
      </w:r>
    </w:p>
    <w:p>
      <w:pPr>
        <w:pStyle w:val="11"/>
        <w:ind w:left="0" w:leftChars="0" w:firstLine="616" w:firstLineChars="200"/>
        <w:rPr>
          <w:rFonts w:hint="eastAsia"/>
        </w:rPr>
      </w:pPr>
      <w:r>
        <w:rPr>
          <w:rFonts w:hint="eastAsia"/>
        </w:rPr>
        <w:t>1、超服务能力收治风险（15分）</w:t>
      </w:r>
    </w:p>
    <w:p>
      <w:pPr>
        <w:pStyle w:val="11"/>
        <w:ind w:left="0" w:leftChars="0" w:firstLine="616" w:firstLineChars="200"/>
        <w:rPr>
          <w:rFonts w:hint="eastAsia"/>
        </w:rPr>
      </w:pPr>
      <w:r>
        <w:rPr>
          <w:rFonts w:hint="eastAsia"/>
        </w:rPr>
        <w:t>指标定义：该指标旨在识别因盲目追求收益而超能力收治，可能导致医疗质量下降、医保基金浪费的风险。</w:t>
      </w:r>
    </w:p>
    <w:p>
      <w:pPr>
        <w:pStyle w:val="11"/>
        <w:rPr>
          <w:rFonts w:hint="eastAsia"/>
        </w:rPr>
      </w:pPr>
      <w:r>
        <w:rPr>
          <w:rFonts w:hint="eastAsia"/>
        </w:rPr>
        <w:t>计算公式：</w:t>
      </w:r>
    </w:p>
    <w:p>
      <w:pPr>
        <w:pStyle w:val="11"/>
        <w:rPr>
          <w:rFonts w:hint="eastAsia"/>
        </w:rPr>
      </w:pPr>
      <w:r>
        <w:rPr>
          <w:rFonts w:hint="eastAsia"/>
        </w:rPr>
        <w:t>超服务能力收治比率 = (机构实际床位使用率 / 同级机构警戒床位使用率) × 100%</w:t>
      </w:r>
    </w:p>
    <w:p>
      <w:pPr>
        <w:pStyle w:val="11"/>
        <w:rPr>
          <w:rFonts w:hint="eastAsia"/>
        </w:rPr>
      </w:pPr>
      <w:r>
        <w:rPr>
          <w:rFonts w:hint="eastAsia"/>
        </w:rPr>
        <w:t>机构实际床位使用率（%</w:t>
      </w:r>
      <w:r>
        <w:rPr>
          <w:rFonts w:hint="eastAsia"/>
          <w:lang w:eastAsia="zh-CN"/>
        </w:rPr>
        <w:t>）</w:t>
      </w:r>
      <w:r>
        <w:rPr>
          <w:rFonts w:hint="eastAsia"/>
        </w:rPr>
        <w:t>= (年度实际占用总床日数 / (年平均</w:t>
      </w:r>
      <w:r>
        <w:rPr>
          <w:rFonts w:hint="eastAsia"/>
          <w:lang w:val="en-US" w:eastAsia="zh-CN"/>
        </w:rPr>
        <w:t>医保备案审批</w:t>
      </w:r>
      <w:r>
        <w:rPr>
          <w:rFonts w:hint="eastAsia"/>
        </w:rPr>
        <w:t>床位数 × 365)) × 100%</w:t>
      </w:r>
    </w:p>
    <w:p>
      <w:pPr>
        <w:pStyle w:val="11"/>
        <w:rPr>
          <w:rFonts w:hint="eastAsia"/>
        </w:rPr>
      </w:pPr>
      <w:r>
        <w:rPr>
          <w:rFonts w:hint="eastAsia"/>
        </w:rPr>
        <w:t>同级机构警戒床位使用率参考国家医院管理评价标准，一般设定为</w:t>
      </w:r>
      <w:r>
        <w:rPr>
          <w:rFonts w:hint="eastAsia"/>
          <w:lang w:val="en-US" w:eastAsia="zh-CN"/>
        </w:rPr>
        <w:t>93</w:t>
      </w:r>
      <w:r>
        <w:rPr>
          <w:rFonts w:hint="eastAsia"/>
        </w:rPr>
        <w:t>%</w:t>
      </w:r>
      <w:r>
        <w:rPr>
          <w:rFonts w:hint="eastAsia"/>
          <w:lang w:eastAsia="zh-CN"/>
        </w:rPr>
        <w:t>，</w:t>
      </w:r>
      <w:r>
        <w:rPr>
          <w:rFonts w:hint="eastAsia"/>
          <w:lang w:val="en-US" w:eastAsia="zh-CN"/>
        </w:rPr>
        <w:t>执行过程中协同卫健部门共同讨论调整</w:t>
      </w:r>
      <w:r>
        <w:rPr>
          <w:rFonts w:hint="eastAsia"/>
        </w:rPr>
        <w:t>。对于</w:t>
      </w:r>
      <w:r>
        <w:rPr>
          <w:rFonts w:hint="eastAsia"/>
          <w:lang w:val="en-US" w:eastAsia="zh-CN"/>
        </w:rPr>
        <w:t>专科类</w:t>
      </w:r>
      <w:r>
        <w:rPr>
          <w:rFonts w:hint="eastAsia"/>
        </w:rPr>
        <w:t>的机构（如康复专科</w:t>
      </w:r>
      <w:r>
        <w:rPr>
          <w:rFonts w:hint="eastAsia"/>
          <w:lang w:val="en-US" w:eastAsia="zh-CN"/>
        </w:rPr>
        <w:t>等</w:t>
      </w:r>
      <w:r>
        <w:rPr>
          <w:rFonts w:hint="eastAsia"/>
        </w:rPr>
        <w:t>），可根据实际情况调整此警戒值。</w:t>
      </w:r>
    </w:p>
    <w:p>
      <w:pPr>
        <w:pStyle w:val="11"/>
        <w:rPr>
          <w:rFonts w:hint="eastAsia"/>
        </w:rPr>
      </w:pPr>
      <w:r>
        <w:rPr>
          <w:rFonts w:hint="eastAsia"/>
        </w:rPr>
        <w:t>评分标准：</w:t>
      </w:r>
    </w:p>
    <w:p>
      <w:pPr>
        <w:pStyle w:val="11"/>
        <w:rPr>
          <w:rFonts w:hint="eastAsia"/>
        </w:rPr>
      </w:pPr>
      <w:r>
        <w:rPr>
          <w:rFonts w:hint="eastAsia"/>
        </w:rPr>
        <w:t>比率 ≤ 100%：得15分（实际使用率未超过警戒线，运营负荷在安全范围内）</w:t>
      </w:r>
    </w:p>
    <w:p>
      <w:pPr>
        <w:pStyle w:val="11"/>
        <w:rPr>
          <w:rFonts w:hint="eastAsia"/>
        </w:rPr>
      </w:pPr>
      <w:r>
        <w:rPr>
          <w:rFonts w:hint="eastAsia"/>
        </w:rPr>
        <w:t>100% &lt; 比率 ≤ 120%：得7分（表明已超负荷运营，需重点关注）</w:t>
      </w:r>
    </w:p>
    <w:p>
      <w:pPr>
        <w:pStyle w:val="11"/>
        <w:rPr>
          <w:rFonts w:hint="eastAsia"/>
        </w:rPr>
      </w:pPr>
      <w:r>
        <w:rPr>
          <w:rFonts w:hint="eastAsia"/>
        </w:rPr>
        <w:t>比率 &gt; 120%：得0分（存在严重超负荷运营风险，医疗质量与基金安全风险极高）</w:t>
      </w:r>
    </w:p>
    <w:p>
      <w:pPr>
        <w:pStyle w:val="11"/>
        <w:rPr>
          <w:rFonts w:hint="eastAsia"/>
        </w:rPr>
      </w:pPr>
      <w:r>
        <w:rPr>
          <w:rFonts w:hint="eastAsia"/>
        </w:rPr>
        <w:t>2、标化均次费用异常度（</w:t>
      </w:r>
      <w:r>
        <w:rPr>
          <w:rFonts w:hint="eastAsia"/>
          <w:lang w:val="en-US" w:eastAsia="zh-CN"/>
        </w:rPr>
        <w:t>15</w:t>
      </w:r>
      <w:r>
        <w:rPr>
          <w:rFonts w:hint="eastAsia"/>
        </w:rPr>
        <w:t>分）</w:t>
      </w:r>
    </w:p>
    <w:p>
      <w:pPr>
        <w:pStyle w:val="11"/>
        <w:rPr>
          <w:rFonts w:hint="eastAsia"/>
        </w:rPr>
      </w:pPr>
      <w:r>
        <w:rPr>
          <w:rFonts w:hint="eastAsia"/>
        </w:rPr>
        <w:t>指标定义：在剔除机构收治病例的疾病严重程度（病例组合）差异后，衡量其均次费用相对于同类机构的偏离程度。该指标能更公平、准确地反映机构的费用控制能力，避免因收治重症患者多而受到不公评价。</w:t>
      </w:r>
    </w:p>
    <w:p>
      <w:pPr>
        <w:pStyle w:val="11"/>
        <w:rPr>
          <w:rFonts w:hint="eastAsia"/>
        </w:rPr>
      </w:pPr>
      <w:r>
        <w:rPr>
          <w:rFonts w:hint="eastAsia"/>
        </w:rPr>
        <w:t>计算公式：</w:t>
      </w:r>
    </w:p>
    <w:p>
      <w:pPr>
        <w:pStyle w:val="11"/>
        <w:rPr>
          <w:rFonts w:hint="eastAsia"/>
        </w:rPr>
      </w:pPr>
      <w:r>
        <w:rPr>
          <w:rFonts w:hint="eastAsia"/>
        </w:rPr>
        <w:t>标化均次费用异常度 = [ (该机构标化均次费用 / 该辖区同级同类机构平均标化均次费用) - 1 ] × 100%</w:t>
      </w:r>
    </w:p>
    <w:p>
      <w:pPr>
        <w:pStyle w:val="11"/>
        <w:rPr>
          <w:rFonts w:hint="eastAsia"/>
        </w:rPr>
      </w:pPr>
      <w:r>
        <w:rPr>
          <w:rFonts w:hint="eastAsia"/>
        </w:rPr>
        <w:t>该机构标化均次费用：采用病例组合指数（CMI）进行标准化调整。</w:t>
      </w:r>
    </w:p>
    <w:p>
      <w:pPr>
        <w:pStyle w:val="11"/>
        <w:rPr>
          <w:rFonts w:hint="eastAsia"/>
        </w:rPr>
      </w:pPr>
      <w:r>
        <w:rPr>
          <w:rFonts w:hint="eastAsia"/>
        </w:rPr>
        <w:t>机构标化均次费用 = 机构实际均次费用 / 该机构的病例组合指数（CMI）</w:t>
      </w:r>
    </w:p>
    <w:p>
      <w:pPr>
        <w:pStyle w:val="11"/>
        <w:rPr>
          <w:rFonts w:hint="eastAsia"/>
        </w:rPr>
      </w:pPr>
      <w:r>
        <w:rPr>
          <w:rFonts w:hint="eastAsia"/>
        </w:rPr>
        <w:t>该辖区同级同类机构平均标化均次费用：计算辖区内所有同级机构的标化均次费用的平均值。</w:t>
      </w:r>
    </w:p>
    <w:p>
      <w:pPr>
        <w:pStyle w:val="11"/>
        <w:rPr>
          <w:rFonts w:hint="eastAsia"/>
        </w:rPr>
      </w:pPr>
      <w:r>
        <w:rPr>
          <w:rFonts w:hint="eastAsia"/>
        </w:rPr>
        <w:t>病例组合指数（CMI）：基于疾病诊断相关</w:t>
      </w:r>
      <w:r>
        <w:rPr>
          <w:rFonts w:hint="eastAsia"/>
          <w:lang w:val="en-US" w:eastAsia="zh-CN"/>
        </w:rPr>
        <w:t>分</w:t>
      </w:r>
      <w:r>
        <w:rPr>
          <w:rFonts w:hint="eastAsia"/>
        </w:rPr>
        <w:t>组（DRG）计算得出，反映机构收治病例的平均技术难度和资源消耗。</w:t>
      </w:r>
    </w:p>
    <w:p>
      <w:pPr>
        <w:pStyle w:val="11"/>
        <w:ind w:left="0" w:leftChars="0" w:firstLine="616" w:firstLineChars="200"/>
        <w:rPr>
          <w:rFonts w:hint="eastAsia"/>
        </w:rPr>
      </w:pPr>
      <w:r>
        <w:rPr>
          <w:rFonts w:hint="eastAsia"/>
        </w:rPr>
        <w:t>评分标准：</w:t>
      </w:r>
    </w:p>
    <w:p>
      <w:pPr>
        <w:pStyle w:val="11"/>
        <w:rPr>
          <w:rFonts w:hint="eastAsia"/>
        </w:rPr>
      </w:pPr>
      <w:r>
        <w:rPr>
          <w:rFonts w:hint="eastAsia"/>
        </w:rPr>
        <w:t>偏离度在±10%以内：得10分（费用水平合理）</w:t>
      </w:r>
    </w:p>
    <w:p>
      <w:pPr>
        <w:pStyle w:val="11"/>
        <w:rPr>
          <w:rFonts w:hint="eastAsia"/>
        </w:rPr>
      </w:pPr>
      <w:r>
        <w:rPr>
          <w:rFonts w:hint="eastAsia"/>
        </w:rPr>
        <w:t>偏离度在±10% ~ ±20%之间：得5分（费用水平轻度异常，需关注）</w:t>
      </w:r>
    </w:p>
    <w:p>
      <w:pPr>
        <w:pStyle w:val="11"/>
        <w:rPr>
          <w:rFonts w:hint="eastAsia"/>
        </w:rPr>
      </w:pPr>
      <w:r>
        <w:rPr>
          <w:rFonts w:hint="eastAsia"/>
        </w:rPr>
        <w:t>偏离度 &gt; +20% 或 &lt; -20%：得0分</w:t>
      </w:r>
    </w:p>
    <w:p>
      <w:pPr>
        <w:pStyle w:val="11"/>
        <w:rPr>
          <w:rFonts w:hint="eastAsia"/>
        </w:rPr>
      </w:pPr>
      <w:r>
        <w:rPr>
          <w:rFonts w:hint="eastAsia"/>
          <w:spacing w:val="-6"/>
        </w:rPr>
        <w:t>&gt;</w:t>
      </w:r>
      <w:r>
        <w:rPr>
          <w:rFonts w:hint="eastAsia"/>
          <w:spacing w:val="-2"/>
        </w:rPr>
        <w:t xml:space="preserve"> </w:t>
      </w:r>
      <w:r>
        <w:rPr>
          <w:rFonts w:hint="eastAsia"/>
          <w:spacing w:val="-6"/>
        </w:rPr>
        <w:t>+20</w:t>
      </w:r>
      <w:r>
        <w:rPr>
          <w:rFonts w:hint="eastAsia"/>
          <w:spacing w:val="-2"/>
        </w:rPr>
        <w:t>%：费用显著偏高</w:t>
      </w:r>
      <w:r>
        <w:rPr>
          <w:rFonts w:hint="eastAsia"/>
          <w:spacing w:val="-1"/>
        </w:rPr>
        <w:t>，</w:t>
      </w:r>
      <w:r>
        <w:rPr>
          <w:rFonts w:hint="eastAsia"/>
          <w:spacing w:val="-2"/>
        </w:rPr>
        <w:t>可能存在过度医疗、不合理收费</w:t>
      </w:r>
      <w:r>
        <w:rPr>
          <w:rFonts w:hint="eastAsia"/>
          <w:spacing w:val="-6"/>
        </w:rPr>
        <w:t>等</w:t>
      </w:r>
      <w:r>
        <w:rPr>
          <w:rFonts w:hint="eastAsia"/>
        </w:rPr>
        <w:t>风险。</w:t>
      </w:r>
    </w:p>
    <w:p>
      <w:pPr>
        <w:pStyle w:val="11"/>
        <w:rPr>
          <w:rFonts w:hint="eastAsia"/>
        </w:rPr>
      </w:pPr>
      <w:r>
        <w:rPr>
          <w:rFonts w:hint="eastAsia"/>
        </w:rPr>
        <w:t>&lt; -20%：费用显著偏低，可能存在服务不足、医疗质量打折等风险。</w:t>
      </w:r>
    </w:p>
    <w:p>
      <w:pPr>
        <w:pStyle w:val="2"/>
      </w:pPr>
      <w:r>
        <w:t>二、 风险分值计算与等级判定</w:t>
      </w:r>
    </w:p>
    <w:p>
      <w:pPr>
        <w:pStyle w:val="11"/>
      </w:pPr>
      <w:r>
        <w:rPr>
          <w:rFonts w:hint="eastAsia"/>
          <w:lang w:val="en-US" w:eastAsia="zh-CN"/>
        </w:rPr>
        <w:t>定点医药机构</w:t>
      </w:r>
      <w:r>
        <w:t>风险</w:t>
      </w:r>
      <w:r>
        <w:rPr>
          <w:rFonts w:hint="eastAsia"/>
          <w:lang w:val="en-US" w:eastAsia="zh-CN"/>
        </w:rPr>
        <w:t>评估</w:t>
      </w:r>
      <w:r>
        <w:t>总分 ＝ 医疗服务能力与有效性得分 ＋ 医疗质量与数据规范性得分 ＋ 运营与基金风险得分</w:t>
      </w:r>
    </w:p>
    <w:p>
      <w:pPr>
        <w:pStyle w:val="11"/>
        <w:rPr>
          <w:rFonts w:hint="eastAsia"/>
          <w:lang w:val="en-US" w:eastAsia="zh-CN"/>
        </w:rPr>
      </w:pPr>
    </w:p>
    <w:p>
      <w:pPr>
        <w:pStyle w:val="11"/>
        <w:rPr>
          <w:rFonts w:hint="eastAsia"/>
          <w:lang w:val="en-US" w:eastAsia="zh-CN"/>
        </w:rPr>
      </w:pPr>
    </w:p>
    <w:p>
      <w:pPr>
        <w:pStyle w:val="11"/>
        <w:jc w:val="center"/>
        <w:rPr>
          <w:rFonts w:hint="eastAsia"/>
          <w:lang w:val="en-US" w:eastAsia="zh-CN"/>
        </w:rPr>
      </w:pPr>
      <w:r>
        <w:rPr>
          <w:rFonts w:hint="eastAsia"/>
          <w:lang w:val="en-US" w:eastAsia="zh-CN"/>
        </w:rPr>
        <w:t>风险等级</w:t>
      </w:r>
    </w:p>
    <w:tbl>
      <w:tblPr>
        <w:tblStyle w:val="16"/>
        <w:tblW w:w="8843" w:type="dxa"/>
        <w:jc w:val="center"/>
        <w:tblLayout w:type="fixed"/>
        <w:tblCellMar>
          <w:top w:w="80" w:type="dxa"/>
          <w:left w:w="128" w:type="dxa"/>
          <w:bottom w:w="80" w:type="dxa"/>
          <w:right w:w="128" w:type="dxa"/>
        </w:tblCellMar>
      </w:tblPr>
      <w:tblGrid>
        <w:gridCol w:w="1654"/>
        <w:gridCol w:w="1485"/>
        <w:gridCol w:w="5704"/>
      </w:tblGrid>
      <w:tr>
        <w:tblPrEx>
          <w:tblCellMar>
            <w:top w:w="80" w:type="dxa"/>
            <w:left w:w="128" w:type="dxa"/>
            <w:bottom w:w="80" w:type="dxa"/>
            <w:right w:w="128" w:type="dxa"/>
          </w:tblCellMar>
        </w:tblPrEx>
        <w:trPr>
          <w:trHeight w:val="0" w:hRule="atLeast"/>
          <w:tblHeader/>
          <w:jc w:val="center"/>
        </w:trPr>
        <w:tc>
          <w:tcPr>
            <w:tcW w:w="1654" w:type="dxa"/>
            <w:tcBorders>
              <w:top w:val="single" w:color="auto" w:sz="12" w:space="0"/>
              <w:left w:val="single" w:color="auto" w:sz="12" w:space="0"/>
              <w:bottom w:val="single" w:color="auto" w:sz="4" w:space="0"/>
              <w:right w:val="single" w:color="auto" w:sz="4" w:space="0"/>
            </w:tcBorders>
            <w:tcMar>
              <w:left w:w="108" w:type="dxa"/>
              <w:right w:w="108" w:type="dxa"/>
            </w:tcMar>
            <w:vAlign w:val="center"/>
          </w:tcPr>
          <w:p>
            <w:pPr>
              <w:pStyle w:val="11"/>
              <w:ind w:left="0" w:leftChars="0" w:firstLine="0" w:firstLineChars="0"/>
              <w:rPr>
                <w:rFonts w:hint="eastAsia"/>
                <w:lang w:val="en-US" w:eastAsia="zh-CN"/>
              </w:rPr>
            </w:pPr>
            <w:r>
              <w:rPr>
                <w:rFonts w:hint="eastAsia"/>
                <w:lang w:val="en-US" w:eastAsia="zh-CN"/>
              </w:rPr>
              <w:t>风险等级</w:t>
            </w:r>
          </w:p>
        </w:tc>
        <w:tc>
          <w:tcPr>
            <w:tcW w:w="1485" w:type="dxa"/>
            <w:tcBorders>
              <w:top w:val="single" w:color="auto" w:sz="12" w:space="0"/>
              <w:left w:val="single" w:color="auto" w:sz="4" w:space="0"/>
              <w:bottom w:val="single" w:color="auto" w:sz="4" w:space="0"/>
              <w:right w:val="single" w:color="auto" w:sz="4" w:space="0"/>
            </w:tcBorders>
            <w:tcMar>
              <w:left w:w="108" w:type="dxa"/>
              <w:right w:w="108" w:type="dxa"/>
            </w:tcMar>
            <w:vAlign w:val="center"/>
          </w:tcPr>
          <w:p>
            <w:pPr>
              <w:pStyle w:val="11"/>
              <w:ind w:left="0" w:leftChars="0" w:firstLine="0" w:firstLineChars="0"/>
              <w:rPr>
                <w:rFonts w:hint="eastAsia"/>
                <w:lang w:val="en-US" w:eastAsia="zh-CN"/>
              </w:rPr>
            </w:pPr>
            <w:r>
              <w:rPr>
                <w:rFonts w:hint="eastAsia"/>
                <w:lang w:val="en-US" w:eastAsia="zh-CN"/>
              </w:rPr>
              <w:t>总分区间</w:t>
            </w:r>
          </w:p>
        </w:tc>
        <w:tc>
          <w:tcPr>
            <w:tcW w:w="5704" w:type="dxa"/>
            <w:tcBorders>
              <w:top w:val="single" w:color="auto" w:sz="12" w:space="0"/>
              <w:left w:val="single" w:color="auto" w:sz="4" w:space="0"/>
              <w:bottom w:val="single" w:color="auto" w:sz="4" w:space="0"/>
              <w:right w:val="single" w:color="auto" w:sz="12" w:space="0"/>
            </w:tcBorders>
            <w:tcMar>
              <w:left w:w="108" w:type="dxa"/>
              <w:right w:w="108" w:type="dxa"/>
            </w:tcMar>
            <w:vAlign w:val="center"/>
          </w:tcPr>
          <w:p>
            <w:pPr>
              <w:pStyle w:val="11"/>
              <w:ind w:left="0" w:leftChars="0" w:firstLine="0" w:firstLineChars="0"/>
              <w:jc w:val="center"/>
              <w:rPr>
                <w:rFonts w:hint="eastAsia"/>
                <w:lang w:val="en-US" w:eastAsia="zh-CN"/>
              </w:rPr>
            </w:pPr>
            <w:r>
              <w:rPr>
                <w:rFonts w:hint="eastAsia"/>
                <w:lang w:val="en-US" w:eastAsia="zh-CN"/>
              </w:rPr>
              <w:t>处置措施</w:t>
            </w:r>
          </w:p>
        </w:tc>
      </w:tr>
      <w:tr>
        <w:tblPrEx>
          <w:tblCellMar>
            <w:top w:w="80" w:type="dxa"/>
            <w:left w:w="128" w:type="dxa"/>
            <w:bottom w:w="80" w:type="dxa"/>
            <w:right w:w="128" w:type="dxa"/>
          </w:tblCellMar>
        </w:tblPrEx>
        <w:trPr>
          <w:trHeight w:val="0" w:hRule="atLeast"/>
          <w:jc w:val="center"/>
        </w:trPr>
        <w:tc>
          <w:tcPr>
            <w:tcW w:w="1654" w:type="dxa"/>
            <w:tcBorders>
              <w:top w:val="single" w:color="auto" w:sz="4" w:space="0"/>
              <w:left w:val="single" w:color="auto" w:sz="12" w:space="0"/>
              <w:bottom w:val="single" w:color="auto" w:sz="4" w:space="0"/>
              <w:right w:val="single" w:color="auto" w:sz="4" w:space="0"/>
            </w:tcBorders>
            <w:tcMar>
              <w:left w:w="108" w:type="dxa"/>
              <w:right w:w="108" w:type="dxa"/>
            </w:tcMar>
            <w:vAlign w:val="center"/>
          </w:tcPr>
          <w:p>
            <w:pPr>
              <w:pStyle w:val="11"/>
              <w:ind w:left="0" w:leftChars="0" w:firstLine="0" w:firstLineChars="0"/>
              <w:rPr>
                <w:rFonts w:hint="default"/>
                <w:lang w:val="en-US" w:eastAsia="zh-CN"/>
              </w:rPr>
            </w:pPr>
            <w:r>
              <w:rPr>
                <w:rFonts w:hint="default"/>
                <w:lang w:val="en-US" w:eastAsia="zh-CN"/>
              </w:rPr>
              <w:t>低风险</w:t>
            </w:r>
          </w:p>
        </w:tc>
        <w:tc>
          <w:tcPr>
            <w:tcW w:w="14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11"/>
              <w:ind w:left="0" w:leftChars="0" w:firstLine="0" w:firstLineChars="0"/>
              <w:rPr>
                <w:rFonts w:hint="default"/>
                <w:lang w:val="en-US" w:eastAsia="zh-CN"/>
              </w:rPr>
            </w:pPr>
            <w:r>
              <w:rPr>
                <w:rFonts w:hint="default"/>
                <w:lang w:val="en-US" w:eastAsia="zh-CN"/>
              </w:rPr>
              <w:t>≥ 70分</w:t>
            </w:r>
          </w:p>
        </w:tc>
        <w:tc>
          <w:tcPr>
            <w:tcW w:w="5704"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pPr>
              <w:pStyle w:val="11"/>
              <w:ind w:left="0" w:leftChars="0" w:firstLine="0" w:firstLineChars="0"/>
              <w:rPr>
                <w:rFonts w:hint="default"/>
                <w:lang w:val="en-US" w:eastAsia="zh-CN"/>
              </w:rPr>
            </w:pPr>
            <w:r>
              <w:rPr>
                <w:rFonts w:hint="default"/>
                <w:lang w:val="en-US" w:eastAsia="zh-CN"/>
              </w:rPr>
              <w:t>常规监管</w:t>
            </w:r>
          </w:p>
        </w:tc>
      </w:tr>
      <w:tr>
        <w:tblPrEx>
          <w:tblCellMar>
            <w:top w:w="80" w:type="dxa"/>
            <w:left w:w="128" w:type="dxa"/>
            <w:bottom w:w="80" w:type="dxa"/>
            <w:right w:w="128" w:type="dxa"/>
          </w:tblCellMar>
        </w:tblPrEx>
        <w:trPr>
          <w:trHeight w:val="0" w:hRule="atLeast"/>
          <w:jc w:val="center"/>
        </w:trPr>
        <w:tc>
          <w:tcPr>
            <w:tcW w:w="1654" w:type="dxa"/>
            <w:tcBorders>
              <w:top w:val="single" w:color="auto" w:sz="4" w:space="0"/>
              <w:left w:val="single" w:color="auto" w:sz="12" w:space="0"/>
              <w:bottom w:val="single" w:color="auto" w:sz="4" w:space="0"/>
              <w:right w:val="single" w:color="auto" w:sz="4" w:space="0"/>
            </w:tcBorders>
            <w:tcMar>
              <w:left w:w="108" w:type="dxa"/>
              <w:right w:w="108" w:type="dxa"/>
            </w:tcMar>
            <w:vAlign w:val="center"/>
          </w:tcPr>
          <w:p>
            <w:pPr>
              <w:pStyle w:val="11"/>
              <w:ind w:left="0" w:leftChars="0" w:firstLine="0" w:firstLineChars="0"/>
              <w:rPr>
                <w:rFonts w:hint="default"/>
                <w:lang w:val="en-US" w:eastAsia="zh-CN"/>
              </w:rPr>
            </w:pPr>
            <w:r>
              <w:rPr>
                <w:rFonts w:hint="default"/>
                <w:lang w:val="en-US" w:eastAsia="zh-CN"/>
              </w:rPr>
              <w:t>中风险</w:t>
            </w:r>
          </w:p>
        </w:tc>
        <w:tc>
          <w:tcPr>
            <w:tcW w:w="148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11"/>
              <w:ind w:left="0" w:leftChars="0" w:firstLine="0" w:firstLineChars="0"/>
              <w:rPr>
                <w:rFonts w:hint="default"/>
                <w:lang w:val="en-US" w:eastAsia="zh-CN"/>
              </w:rPr>
            </w:pPr>
            <w:r>
              <w:rPr>
                <w:rFonts w:hint="default"/>
                <w:lang w:val="en-US" w:eastAsia="zh-CN"/>
              </w:rPr>
              <w:t xml:space="preserve">50分 </w:t>
            </w:r>
            <w:r>
              <w:rPr>
                <w:rFonts w:hint="eastAsia"/>
                <w:lang w:val="en-US" w:eastAsia="zh-CN"/>
              </w:rPr>
              <w:t>－</w:t>
            </w:r>
            <w:r>
              <w:rPr>
                <w:rFonts w:hint="default"/>
                <w:lang w:val="en-US" w:eastAsia="zh-CN"/>
              </w:rPr>
              <w:t xml:space="preserve"> 69分</w:t>
            </w:r>
          </w:p>
        </w:tc>
        <w:tc>
          <w:tcPr>
            <w:tcW w:w="5704"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pPr>
              <w:pStyle w:val="11"/>
              <w:ind w:left="0" w:leftChars="0" w:firstLine="0" w:firstLineChars="0"/>
              <w:rPr>
                <w:rFonts w:hint="default"/>
                <w:lang w:val="en-US" w:eastAsia="zh-CN"/>
              </w:rPr>
            </w:pPr>
            <w:r>
              <w:rPr>
                <w:rFonts w:hint="default"/>
                <w:lang w:val="en-US" w:eastAsia="zh-CN"/>
              </w:rPr>
              <w:t>对机构进行风险警示约谈，要求其提交自查报告和整改计划，并纳入重点监控名单。</w:t>
            </w:r>
          </w:p>
        </w:tc>
      </w:tr>
      <w:tr>
        <w:tblPrEx>
          <w:tblCellMar>
            <w:top w:w="80" w:type="dxa"/>
            <w:left w:w="128" w:type="dxa"/>
            <w:bottom w:w="80" w:type="dxa"/>
            <w:right w:w="128" w:type="dxa"/>
          </w:tblCellMar>
        </w:tblPrEx>
        <w:trPr>
          <w:trHeight w:val="0" w:hRule="atLeast"/>
          <w:jc w:val="center"/>
        </w:trPr>
        <w:tc>
          <w:tcPr>
            <w:tcW w:w="1654" w:type="dxa"/>
            <w:tcBorders>
              <w:top w:val="single" w:color="auto" w:sz="4" w:space="0"/>
              <w:left w:val="single" w:color="auto" w:sz="12" w:space="0"/>
              <w:bottom w:val="single" w:color="auto" w:sz="12" w:space="0"/>
              <w:right w:val="single" w:color="auto" w:sz="4" w:space="0"/>
            </w:tcBorders>
            <w:tcMar>
              <w:left w:w="108" w:type="dxa"/>
              <w:right w:w="108" w:type="dxa"/>
            </w:tcMar>
            <w:vAlign w:val="center"/>
          </w:tcPr>
          <w:p>
            <w:pPr>
              <w:pStyle w:val="11"/>
              <w:ind w:left="0" w:leftChars="0" w:firstLine="0" w:firstLineChars="0"/>
              <w:rPr>
                <w:rFonts w:hint="default"/>
                <w:lang w:val="en-US" w:eastAsia="zh-CN"/>
              </w:rPr>
            </w:pPr>
            <w:r>
              <w:rPr>
                <w:rFonts w:hint="default"/>
                <w:lang w:val="en-US" w:eastAsia="zh-CN"/>
              </w:rPr>
              <w:t>高风险</w:t>
            </w:r>
          </w:p>
        </w:tc>
        <w:tc>
          <w:tcPr>
            <w:tcW w:w="1485" w:type="dxa"/>
            <w:tcBorders>
              <w:top w:val="single" w:color="auto" w:sz="4" w:space="0"/>
              <w:left w:val="single" w:color="auto" w:sz="4" w:space="0"/>
              <w:bottom w:val="single" w:color="auto" w:sz="12" w:space="0"/>
              <w:right w:val="single" w:color="auto" w:sz="4" w:space="0"/>
            </w:tcBorders>
            <w:tcMar>
              <w:left w:w="108" w:type="dxa"/>
              <w:right w:w="108" w:type="dxa"/>
            </w:tcMar>
            <w:vAlign w:val="center"/>
          </w:tcPr>
          <w:p>
            <w:pPr>
              <w:pStyle w:val="11"/>
              <w:ind w:left="0" w:leftChars="0" w:firstLine="0" w:firstLineChars="0"/>
              <w:rPr>
                <w:rFonts w:hint="default"/>
                <w:lang w:val="en-US" w:eastAsia="zh-CN"/>
              </w:rPr>
            </w:pPr>
            <w:r>
              <w:rPr>
                <w:rFonts w:hint="eastAsia"/>
                <w:lang w:val="en-US" w:eastAsia="zh-CN"/>
              </w:rPr>
              <w:t>＜</w:t>
            </w:r>
            <w:r>
              <w:rPr>
                <w:rFonts w:hint="default"/>
                <w:lang w:val="en-US" w:eastAsia="zh-CN"/>
              </w:rPr>
              <w:t xml:space="preserve"> 50分</w:t>
            </w:r>
          </w:p>
        </w:tc>
        <w:tc>
          <w:tcPr>
            <w:tcW w:w="5704" w:type="dxa"/>
            <w:tcBorders>
              <w:top w:val="single" w:color="auto" w:sz="4" w:space="0"/>
              <w:left w:val="single" w:color="auto" w:sz="4" w:space="0"/>
              <w:bottom w:val="single" w:color="auto" w:sz="12" w:space="0"/>
              <w:right w:val="single" w:color="auto" w:sz="12" w:space="0"/>
            </w:tcBorders>
            <w:tcMar>
              <w:left w:w="108" w:type="dxa"/>
              <w:right w:w="108" w:type="dxa"/>
            </w:tcMar>
            <w:vAlign w:val="center"/>
          </w:tcPr>
          <w:p>
            <w:pPr>
              <w:pStyle w:val="11"/>
              <w:ind w:left="0" w:leftChars="0" w:firstLine="0" w:firstLineChars="0"/>
              <w:rPr>
                <w:rFonts w:hint="default"/>
                <w:lang w:val="en-US" w:eastAsia="zh-CN"/>
              </w:rPr>
            </w:pPr>
            <w:r>
              <w:rPr>
                <w:rFonts w:hint="default"/>
                <w:lang w:val="en-US" w:eastAsia="zh-CN"/>
              </w:rPr>
              <w:t>立即开展专项稽查、数据核查和专家评估。若查实存在严重</w:t>
            </w:r>
            <w:r>
              <w:rPr>
                <w:rFonts w:hint="eastAsia"/>
                <w:lang w:val="en-US" w:eastAsia="zh-CN"/>
              </w:rPr>
              <w:t>违规</w:t>
            </w:r>
            <w:r>
              <w:rPr>
                <w:rFonts w:hint="default"/>
                <w:lang w:val="en-US" w:eastAsia="zh-CN"/>
              </w:rPr>
              <w:t>问题，依法依规</w:t>
            </w:r>
            <w:r>
              <w:rPr>
                <w:rFonts w:hint="eastAsia"/>
                <w:lang w:val="en-US" w:eastAsia="zh-CN"/>
              </w:rPr>
              <w:t>处理</w:t>
            </w:r>
            <w:r>
              <w:rPr>
                <w:rFonts w:hint="default"/>
                <w:lang w:val="en-US" w:eastAsia="zh-CN"/>
              </w:rPr>
              <w:t>。</w:t>
            </w:r>
          </w:p>
        </w:tc>
      </w:tr>
    </w:tbl>
    <w:p>
      <w:pPr>
        <w:pStyle w:val="11"/>
        <w:ind w:left="0" w:leftChars="0" w:firstLine="616" w:firstLineChars="200"/>
        <w:rPr>
          <w:rFonts w:hint="eastAsia"/>
          <w:lang w:val="en-US" w:eastAsia="zh-CN"/>
        </w:rPr>
      </w:pPr>
      <w:r>
        <w:rPr>
          <w:rFonts w:hint="eastAsia"/>
          <w:lang w:val="en-US" w:eastAsia="zh-CN"/>
        </w:rPr>
        <w:t>特别预警条款：当定点医疗机构的年度出院人次与其医保备案床位数严重不匹配，反映资源错配或服务行为异常时，直接将其风险等级设为高风险，并启动专项调查与处置程序。</w:t>
      </w: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Math">
    <w:altName w:val="DejaVu Math TeX Gyre"/>
    <w:panose1 w:val="02040503050406030204"/>
    <w:charset w:val="00"/>
    <w:family w:val="auto"/>
    <w:pitch w:val="default"/>
    <w:sig w:usb0="00000000" w:usb1="00000000" w:usb2="0200000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DPvJvBIQIAADMEAAAO&#10;AAAAZHJzL2Uyb0RvYy54bWytU8uO0zAU3SPxD5b3NGlHjKqq6ajMqAipYkYqiLXr2E0kx7Zst0n5&#10;APgDVmzY8139Do7dpOW1Qmyce31v7uOc4/ld1yhyEM7XRhd0PMopEZqbsta7gr5/t3oxpcQHpkum&#10;jBYFPQpP7xbPn81bOxMTUxlVCkdQRPtZawtahWBnWeZ5JRrmR8YKjaA0rmEBrttlpWMtqjcqm+T5&#10;bdYaV1pnuPAetw/nIF2k+lIKHh6l9CIQVVDMFtLp0rmNZ7aYs9nOMVvVvB+D/cMUDas1ml5KPbDA&#10;yN7Vf5Rqau6MNzKMuGkyI2XNRdoB24zz37bZVMyKtAvA8fYCk/9/Zfnbw5MjdQnuKNGsAUWnL59P&#10;X7+fvn0i4whPa/0MWRuLvNC9Ml1Bg9uLIeRxHxfvpGviFysRpADr4wVf0QXCcTmeTqbTHCGO2OCg&#10;RXb93TofXgvTkGgU1IHAhCs7rH04pw4psZs2q1qpRKLSpC3o7c3LPP1wiaC40ugR9zgPG63Qbbt+&#10;ua0pj9jNmbM4vOWrGs3XzIcn5qAGDAyFh0ccUhk0Mb1FSWXcx7/dx3yQhCglLdRVUA35U6LeaJA3&#10;yW+gXagxeTDcL9fb4Vrvm3sD4YIaTJXMmBzUYEpnmg94AMvYTTLl0YJpjr4gaTDvA7w+iIfExXJ5&#10;8ffW1bvq+jNEaVlY643lPc0RZW+X+wCkEwERvTNkPahQZqKwf0VR+j/7Kev61hc/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alSs7WAAAABgEAAA8AAAAAAAAAAQAgAAAAOAAAAGRycy9kb3ducmV2&#10;LnhtbFBLAQIUABQAAAAIAIdO4kDPvJvBIQIAADMEAAAOAAAAAAAAAAEAIAAAADsBAABkcnMvZTJv&#10;RG9jLnhtbFBLBQYAAAAABgAGAFkBAADOBQAAAAA=&#10;">
              <v:fill on="f" focussize="0,0"/>
              <v:stroke on="f" weight="0.5pt"/>
              <v:imagedata o:title=""/>
              <o:lock v:ext="edit" aspectratio="f"/>
              <v:textbox inset="16pt,0mm,16pt,0mm" style="mso-fit-shape-to-text:t;">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D4ViDAIAIAADMEAAAO&#10;AAAAZHJzL2Uyb0RvYy54bWytU8uO0zAU3SPxD5b3NGlHjKqq6ajMqAipYkYqiLXrOE0kv2S7TcoH&#10;wB+wYsOe7+p3cOwmLa8VYuPcV+7j3HPnd52S5CCcb4wu6HiUUyI0N2WjdwV9/271YkqJD0yXTBot&#10;CnoUnt4tnj+bt3YmJqY2shSOIIn2s9YWtA7BzrLM81oo5kfGCg1nZZxiAarbZaVjLbIrmU3y/DZr&#10;jSutM1x4D+vD2UkXKX9VCR4eq8qLQGRB0VtIr0vvNr7ZYs5mO8ds3fC+DfYPXSjWaBS9pHpggZG9&#10;a/5IpRrujDdVGHGjMlNVDRdpBkwzzn+bZlMzK9IsAMfbC0z+/6Xlbw9PjjRlQSeUaKawotOXz6ev&#10;30/fPpFJhKe1foaojUVc6F6ZrqDB7cXg8rDHwbvKqfjFSAQhwPp4wVd0gXAYx9PJdJrDxeEbFJTI&#10;rr9b58NrYRSJQkEdFphwZYe1D+fQISRW02bVSJmWKDVpC3p78zJPP1w8SC41asQ5zs1GKXTbrh9u&#10;a8ojZnPmTA5v+apB8TXz4Yk5sAENg+HhEU8lDYqYXqKkNu7j3+wxHkuCl5IW7CqoBv0pkW80ljfJ&#10;b8BdsDFpENwv5u1g1nt1b0DcMW7I8iTG4CAHsXJGfcABLGO1ikmPEkxz1MWSBvE+QOudOCQulsuL&#10;vreu2dXXn0FKy8Jabyzv1xxR9na5D0A6LSCid4asBxXMTCvsryhS/2c9RV1vffE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BqVKztYAAAAGAQAADwAAAAAAAAABACAAAAA4AAAAZHJzL2Rvd25yZXYu&#10;eG1sUEsBAhQAFAAAAAgAh07iQPhWIMAgAgAAMwQAAA4AAAAAAAAAAQAgAAAAOwEAAGRycy9lMm9E&#10;b2MueG1sUEsFBgAAAAAGAAYAWQEAAM0FAAAAAA==&#10;">
              <v:fill on="f" focussize="0,0"/>
              <v:stroke on="f" weight="0.5pt"/>
              <v:imagedata o:title=""/>
              <o:lock v:ext="edit" aspectratio="f"/>
              <v:textbox inset="16pt,0mm,16pt,0mm" style="mso-fit-shape-to-text:t;">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C2F3B"/>
    <w:multiLevelType w:val="singleLevel"/>
    <w:tmpl w:val="860C2F3B"/>
    <w:lvl w:ilvl="0" w:tentative="0">
      <w:start w:val="1"/>
      <w:numFmt w:val="taiwaneseCounting"/>
      <w:suff w:val="nothing"/>
      <w:lvlText w:val="%1、"/>
      <w:lvlJc w:val="left"/>
      <w:pPr>
        <w:ind w:left="0" w:firstLine="640"/>
      </w:pPr>
      <w:rPr>
        <w:rFonts w:hint="eastAsia"/>
      </w:rPr>
    </w:lvl>
  </w:abstractNum>
  <w:abstractNum w:abstractNumId="1">
    <w:nsid w:val="B3D26C70"/>
    <w:multiLevelType w:val="singleLevel"/>
    <w:tmpl w:val="B3D26C70"/>
    <w:lvl w:ilvl="0" w:tentative="0">
      <w:start w:val="1"/>
      <w:numFmt w:val="decimal"/>
      <w:suff w:val="nothing"/>
      <w:lvlText w:val="%1．"/>
      <w:lvlJc w:val="left"/>
      <w:pPr>
        <w:ind w:left="0" w:firstLine="616"/>
      </w:pPr>
      <w:rPr>
        <w:rFonts w:hint="default"/>
      </w:rPr>
    </w:lvl>
  </w:abstractNum>
  <w:abstractNum w:abstractNumId="2">
    <w:nsid w:val="E21128BD"/>
    <w:multiLevelType w:val="singleLevel"/>
    <w:tmpl w:val="E21128BD"/>
    <w:lvl w:ilvl="0" w:tentative="0">
      <w:start w:val="1"/>
      <w:numFmt w:val="taiwaneseCounting"/>
      <w:suff w:val="nothing"/>
      <w:lvlText w:val="（%1）"/>
      <w:lvlJc w:val="left"/>
      <w:pPr>
        <w:ind w:left="0" w:firstLine="640"/>
      </w:pPr>
      <w:rPr>
        <w:rFonts w:hint="eastAsia"/>
      </w:rPr>
    </w:lvl>
  </w:abstractNum>
  <w:abstractNum w:abstractNumId="3">
    <w:nsid w:val="046169A2"/>
    <w:multiLevelType w:val="singleLevel"/>
    <w:tmpl w:val="046169A2"/>
    <w:lvl w:ilvl="0" w:tentative="0">
      <w:start w:val="1"/>
      <w:numFmt w:val="taiwaneseCounting"/>
      <w:suff w:val="nothing"/>
      <w:lvlText w:val="（%1）"/>
      <w:lvlJc w:val="left"/>
      <w:pPr>
        <w:ind w:left="0" w:firstLine="640"/>
      </w:pPr>
      <w:rPr>
        <w:rFonts w:hint="eastAsia"/>
      </w:rPr>
    </w:lvl>
  </w:abstractNum>
  <w:abstractNum w:abstractNumId="4">
    <w:nsid w:val="2EA343D1"/>
    <w:multiLevelType w:val="singleLevel"/>
    <w:tmpl w:val="2EA343D1"/>
    <w:lvl w:ilvl="0" w:tentative="0">
      <w:start w:val="1"/>
      <w:numFmt w:val="taiwaneseCounting"/>
      <w:suff w:val="nothing"/>
      <w:lvlText w:val="（%1）"/>
      <w:lvlJc w:val="left"/>
      <w:pPr>
        <w:ind w:left="0" w:firstLine="616"/>
      </w:pPr>
      <w:rPr>
        <w:rFonts w:hint="eastAsi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745F7"/>
    <w:rsid w:val="047D1717"/>
    <w:rsid w:val="073C242F"/>
    <w:rsid w:val="0A7E7C4D"/>
    <w:rsid w:val="15B27C27"/>
    <w:rsid w:val="194745F7"/>
    <w:rsid w:val="1A576F04"/>
    <w:rsid w:val="1FFFCE95"/>
    <w:rsid w:val="206C3C8B"/>
    <w:rsid w:val="21FD1424"/>
    <w:rsid w:val="23A3481D"/>
    <w:rsid w:val="3757357E"/>
    <w:rsid w:val="3EFDEC41"/>
    <w:rsid w:val="3FCAE363"/>
    <w:rsid w:val="55577669"/>
    <w:rsid w:val="5EA6920C"/>
    <w:rsid w:val="6F7832B3"/>
    <w:rsid w:val="71290D5C"/>
    <w:rsid w:val="73C658BC"/>
    <w:rsid w:val="7BB5C496"/>
    <w:rsid w:val="7ED7421C"/>
    <w:rsid w:val="7EF5BE08"/>
    <w:rsid w:val="7EFBBA4E"/>
    <w:rsid w:val="7FFE5F60"/>
    <w:rsid w:val="7FFFCA6B"/>
    <w:rsid w:val="8FDF501B"/>
    <w:rsid w:val="ADDF0D7C"/>
    <w:rsid w:val="BFFFA794"/>
    <w:rsid w:val="D9DB9F8A"/>
    <w:rsid w:val="DCFD8599"/>
    <w:rsid w:val="DF3EF1E2"/>
    <w:rsid w:val="F9DF9A8E"/>
    <w:rsid w:val="FB831E59"/>
    <w:rsid w:val="FD7D94D3"/>
    <w:rsid w:val="FF5AD774"/>
    <w:rsid w:val="FFB6A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4">
    <w:name w:val="heading 3"/>
    <w:next w:val="1"/>
    <w:link w:val="20"/>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仿宋_GB2312"/>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方正小标宋简体" w:hAnsi="方正小标宋简体" w:eastAsia="方正小标宋简体" w:cs="方正小标宋简体"/>
      <w:kern w:val="28"/>
      <w:sz w:val="44"/>
      <w:szCs w:val="44"/>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18">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paragraph" w:customStyle="1" w:styleId="19">
    <w:name w:val="表格标题"/>
    <w:next w:val="1"/>
    <w:qFormat/>
    <w:uiPriority w:val="0"/>
    <w:pPr>
      <w:overflowPunct w:val="0"/>
      <w:topLinePunct/>
      <w:spacing w:line="560" w:lineRule="exact"/>
      <w:jc w:val="center"/>
      <w:outlineLvl w:val="9"/>
    </w:pPr>
    <w:rPr>
      <w:rFonts w:ascii="仿宋_GB2312" w:hAnsi="仿宋_GB2312" w:eastAsia="仿宋_GB2312" w:cs="仿宋_GB2312"/>
      <w:spacing w:val="-6"/>
      <w:kern w:val="0"/>
      <w:sz w:val="32"/>
      <w:szCs w:val="32"/>
    </w:rPr>
  </w:style>
  <w:style w:type="character" w:customStyle="1" w:styleId="20">
    <w:name w:val="标题 3 Char"/>
    <w:link w:val="4"/>
    <w:qFormat/>
    <w:uiPriority w:val="0"/>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4903</Words>
  <Characters>5080</Characters>
  <Lines>0</Lines>
  <Paragraphs>0</Paragraphs>
  <TotalTime>98</TotalTime>
  <ScaleCrop>false</ScaleCrop>
  <LinksUpToDate>false</LinksUpToDate>
  <CharactersWithSpaces>5258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2025-09-29T16:51:00Z</dcterms:created>
  <dc:creator>agujfd</dc:creator>
  <cp:lastModifiedBy>豌豆</cp:lastModifiedBy>
  <cp:lastPrinted>2025-12-11T18:43:00Z</cp:lastPrinted>
  <dcterms:modified xsi:type="dcterms:W3CDTF">2025-12-11T17:36:10Z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60522E8E2D754DC7A64D487DCD504BFA_13</vt:lpwstr>
  </property>
  <property fmtid="{D5CDD505-2E9C-101B-9397-08002B2CF9AE}" pid="4" name="KSOTemplateDocerSaveRecord">
    <vt:lpwstr>eyJoZGlkIjoiNWQwOTczNmE3OGJhNWI3MWYwNGJlYjdmOTkyNzQwMWMiLCJ1c2VySWQiOiI1OTc5NTQ1ODcifQ==</vt:lpwstr>
  </property>
</Properties>
</file>