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803AF">
      <w:pPr>
        <w:pStyle w:val="15"/>
        <w:keepNext/>
        <w:pageBreakBefore w:val="0"/>
        <w:widowControl/>
        <w:kinsoku/>
        <w:wordWrap/>
        <w:overflowPunct/>
        <w:topLinePunct w:val="0"/>
        <w:autoSpaceDE/>
        <w:autoSpaceDN/>
        <w:bidi w:val="0"/>
        <w:adjustRightInd/>
        <w:snapToGrid/>
        <w:textAlignment w:val="auto"/>
        <w:rPr>
          <w:color w:val="auto"/>
        </w:rPr>
      </w:pPr>
      <mc:AlternateContent>
        <mc:Choice Requires="wpsCustomData">
          <wpsCustomData:docfieldStart id="0" docfieldname="标题_1" hidden="0" print="1" readonly="0" index="4"/>
        </mc:Choice>
      </mc:AlternateContent>
      <w:r>
        <w:rPr>
          <w:color w:val="auto"/>
        </w:rPr>
        <w:t>玉林市定点医药机构管理实施细则</w:t>
      </w:r>
    </w:p>
    <w:p w14:paraId="5B6165EF">
      <w:pPr>
        <w:pStyle w:val="15"/>
        <w:keepNext/>
        <w:pageBreakBefore w:val="0"/>
        <w:widowControl/>
        <w:kinsoku/>
        <w:wordWrap/>
        <w:overflowPunct/>
        <w:topLinePunct w:val="0"/>
        <w:autoSpaceDE/>
        <w:autoSpaceDN/>
        <w:bidi w:val="0"/>
        <w:adjustRightInd/>
        <w:snapToGrid/>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（第二次征求意见稿）</w:t>
      </w:r>
      <mc:AlternateContent>
        <mc:Choice Requires="wpsCustomData">
          <wpsCustomData:docfieldEnd id="0"/>
        </mc:Choice>
      </mc:AlternateContent>
    </w:p>
    <w:p w14:paraId="6D293602">
      <w:pPr>
        <w:pStyle w:val="11"/>
        <w:keepNext/>
        <w:pageBreakBefore w:val="0"/>
        <w:widowControl/>
        <w:kinsoku/>
        <w:wordWrap/>
        <w:overflowPunct/>
        <w:topLinePunct w:val="0"/>
        <w:autoSpaceDE/>
        <w:autoSpaceDN/>
        <w:bidi w:val="0"/>
        <w:adjustRightInd/>
        <w:snapToGrid/>
        <w:spacing w:beforeAutospacing="0" w:afterAutospacing="0" w:line="300" w:lineRule="exact"/>
        <w:textAlignment w:val="auto"/>
        <w:rPr>
          <w:color w:val="auto"/>
        </w:rPr>
      </w:pPr>
    </w:p>
    <w:p w14:paraId="5CCA44E0">
      <w:pPr>
        <w:pStyle w:val="11"/>
        <w:keepNext/>
        <w:pageBreakBefore w:val="0"/>
        <w:widowControl/>
        <w:kinsoku/>
        <w:wordWrap/>
        <w:overflowPunct/>
        <w:topLinePunct w:val="0"/>
        <w:autoSpaceDE/>
        <w:autoSpaceDN/>
        <w:bidi w:val="0"/>
        <w:adjustRightInd/>
        <w:snapToGrid/>
        <w:textAlignment w:val="auto"/>
        <w:rPr>
          <w:rFonts w:hint="eastAsia" w:eastAsia="仿宋_GB2312"/>
          <w:color w:val="auto"/>
          <w:lang w:eastAsia="zh-CN"/>
        </w:rPr>
      </w:pPr>
      <w:r>
        <w:rPr>
          <w:color w:val="auto"/>
        </w:rPr>
        <w:t>为进一步规范玉林市医疗保障定点医药机构管理工作，优化资源配置，提升服务质量与基金使用效益，根据《广西壮族自治区医疗保障局关于进一步加强医疗保障定点医药机构管理的通知》</w:t>
      </w:r>
      <w:r>
        <w:rPr>
          <w:rFonts w:hint="eastAsia"/>
          <w:color w:val="auto"/>
          <w:lang w:eastAsia="zh-CN"/>
        </w:rPr>
        <w:t>（</w:t>
      </w:r>
      <w:r>
        <w:rPr>
          <w:rFonts w:hint="eastAsia"/>
          <w:color w:val="auto"/>
          <w:lang w:val="en-US" w:eastAsia="zh-CN"/>
        </w:rPr>
        <w:t>桂医保发〔2025〕34号</w:t>
      </w:r>
      <w:r>
        <w:rPr>
          <w:rFonts w:hint="eastAsia"/>
          <w:color w:val="auto"/>
          <w:lang w:eastAsia="zh-CN"/>
        </w:rPr>
        <w:t>）</w:t>
      </w:r>
      <w:r>
        <w:rPr>
          <w:color w:val="auto"/>
        </w:rPr>
        <w:t>文件精神，结合本市实际</w:t>
      </w:r>
      <w:r>
        <w:rPr>
          <w:rFonts w:hint="eastAsia"/>
          <w:color w:val="auto"/>
          <w:lang w:eastAsia="zh-CN"/>
        </w:rPr>
        <w:t>，</w:t>
      </w:r>
      <w:r>
        <w:rPr>
          <w:color w:val="auto"/>
        </w:rPr>
        <w:t>制定本实施细则</w:t>
      </w:r>
      <w:r>
        <w:rPr>
          <w:rFonts w:hint="eastAsia"/>
          <w:color w:val="auto"/>
          <w:lang w:eastAsia="zh-CN"/>
        </w:rPr>
        <w:t>。</w:t>
      </w:r>
    </w:p>
    <w:p w14:paraId="3F7A8365">
      <w:pPr>
        <w:pStyle w:val="2"/>
        <w:keepNext/>
        <w:pageBreakBefore w:val="0"/>
        <w:widowControl/>
        <w:numPr>
          <w:ilvl w:val="0"/>
          <w:numId w:val="1"/>
        </w:numPr>
        <w:kinsoku/>
        <w:wordWrap/>
        <w:overflowPunct/>
        <w:topLinePunct w:val="0"/>
        <w:autoSpaceDE/>
        <w:autoSpaceDN/>
        <w:bidi w:val="0"/>
        <w:adjustRightInd/>
        <w:snapToGrid/>
        <w:ind w:left="0" w:leftChars="0" w:firstLine="640" w:firstLineChars="0"/>
        <w:textAlignment w:val="auto"/>
        <w:rPr>
          <w:b w:val="0"/>
          <w:color w:val="auto"/>
        </w:rPr>
      </w:pPr>
      <w:r>
        <w:rPr>
          <w:color w:val="auto"/>
        </w:rPr>
        <w:t>总体要求</w:t>
      </w:r>
    </w:p>
    <w:p w14:paraId="7FDCAA2E">
      <w:pPr>
        <w:pStyle w:val="11"/>
        <w:keepNext/>
        <w:pageBreakBefore w:val="0"/>
        <w:widowControl/>
        <w:kinsoku/>
        <w:wordWrap/>
        <w:overflowPunct/>
        <w:topLinePunct w:val="0"/>
        <w:autoSpaceDE/>
        <w:autoSpaceDN/>
        <w:bidi w:val="0"/>
        <w:adjustRightInd/>
        <w:snapToGrid/>
        <w:textAlignment w:val="auto"/>
        <w:rPr>
          <w:color w:val="auto"/>
        </w:rPr>
      </w:pPr>
      <w:r>
        <w:rPr>
          <w:color w:val="auto"/>
        </w:rPr>
        <w:t>坚持科学规划原则，以国家定点医药资源配置规划为指导，统筹布局医保定点医药机构，确保资源高效配置；严格规范定点医药机构准入、运营及</w:t>
      </w:r>
      <w:r>
        <w:rPr>
          <w:rFonts w:hint="eastAsia"/>
          <w:color w:val="auto"/>
          <w:lang w:val="en-US" w:eastAsia="zh-CN"/>
        </w:rPr>
        <w:t>风险评估</w:t>
      </w:r>
      <w:r>
        <w:rPr>
          <w:color w:val="auto"/>
        </w:rPr>
        <w:t>全流程管理，切实维护医保基金安全和参保群众合法权益。</w:t>
      </w:r>
    </w:p>
    <w:p w14:paraId="6D6FC5D3">
      <w:pPr>
        <w:pStyle w:val="2"/>
        <w:keepNext/>
        <w:pageBreakBefore w:val="0"/>
        <w:widowControl/>
        <w:numPr>
          <w:ilvl w:val="0"/>
          <w:numId w:val="1"/>
        </w:numPr>
        <w:kinsoku/>
        <w:wordWrap/>
        <w:overflowPunct/>
        <w:topLinePunct w:val="0"/>
        <w:autoSpaceDE/>
        <w:autoSpaceDN/>
        <w:bidi w:val="0"/>
        <w:adjustRightInd/>
        <w:snapToGrid/>
        <w:ind w:left="0" w:leftChars="0" w:firstLine="640" w:firstLineChars="0"/>
        <w:textAlignment w:val="auto"/>
        <w:rPr>
          <w:b w:val="0"/>
          <w:color w:val="auto"/>
        </w:rPr>
      </w:pPr>
      <w:r>
        <w:rPr>
          <w:color w:val="auto"/>
        </w:rPr>
        <w:t>资源配置优化</w:t>
      </w:r>
    </w:p>
    <w:p w14:paraId="74B36D10">
      <w:pPr>
        <w:pStyle w:val="3"/>
        <w:keepNext/>
        <w:pageBreakBefore w:val="0"/>
        <w:widowControl/>
        <w:numPr>
          <w:ilvl w:val="0"/>
          <w:numId w:val="2"/>
        </w:numPr>
        <w:kinsoku/>
        <w:wordWrap/>
        <w:overflowPunct/>
        <w:topLinePunct w:val="0"/>
        <w:autoSpaceDE/>
        <w:autoSpaceDN/>
        <w:bidi w:val="0"/>
        <w:adjustRightInd/>
        <w:snapToGrid/>
        <w:ind w:left="0" w:leftChars="0" w:firstLine="640" w:firstLineChars="0"/>
        <w:textAlignment w:val="auto"/>
        <w:rPr>
          <w:b w:val="0"/>
          <w:color w:val="auto"/>
        </w:rPr>
      </w:pPr>
      <w:r>
        <w:rPr>
          <w:color w:val="auto"/>
        </w:rPr>
        <w:t>供需评估机制</w:t>
      </w:r>
    </w:p>
    <w:p w14:paraId="583D03DE">
      <w:pPr>
        <w:pStyle w:val="11"/>
        <w:keepNext/>
        <w:pageBreakBefore w:val="0"/>
        <w:widowControl/>
        <w:kinsoku/>
        <w:wordWrap/>
        <w:overflowPunct/>
        <w:topLinePunct w:val="0"/>
        <w:autoSpaceDE/>
        <w:autoSpaceDN/>
        <w:bidi w:val="0"/>
        <w:adjustRightInd/>
        <w:snapToGrid/>
        <w:textAlignment w:val="auto"/>
        <w:rPr>
          <w:color w:val="auto"/>
        </w:rPr>
      </w:pPr>
      <w:r>
        <w:rPr>
          <w:color w:val="auto"/>
        </w:rPr>
        <w:t>由市医保局牵头，联合卫生健康、市场监管等部门，定期开展医保定点医药机构供需评估工作。全面采集全市参保人口分布、疾病谱、医疗资源现状等基础数据，科学测算区域医药服务需求与供给匹配度，并组织专家论证评估，确保测算结果客观合理。评估结果向社会公示，接受监督。</w:t>
      </w:r>
    </w:p>
    <w:p w14:paraId="0390CD10">
      <w:pPr>
        <w:pStyle w:val="3"/>
        <w:keepNext/>
        <w:pageBreakBefore w:val="0"/>
        <w:widowControl/>
        <w:numPr>
          <w:ilvl w:val="0"/>
          <w:numId w:val="2"/>
        </w:numPr>
        <w:kinsoku/>
        <w:wordWrap/>
        <w:overflowPunct/>
        <w:topLinePunct w:val="0"/>
        <w:autoSpaceDE/>
        <w:autoSpaceDN/>
        <w:bidi w:val="0"/>
        <w:adjustRightInd/>
        <w:snapToGrid/>
        <w:ind w:left="0" w:leftChars="0" w:firstLine="640" w:firstLineChars="0"/>
        <w:textAlignment w:val="auto"/>
        <w:rPr>
          <w:b w:val="0"/>
          <w:color w:val="auto"/>
        </w:rPr>
      </w:pPr>
      <w:r>
        <w:rPr>
          <w:color w:val="auto"/>
        </w:rPr>
        <w:t>配置阈值管理</w:t>
      </w:r>
    </w:p>
    <w:p w14:paraId="10593D8F">
      <w:pPr>
        <w:pStyle w:val="11"/>
        <w:keepNext/>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b w:val="0"/>
          <w:color w:val="auto"/>
        </w:rPr>
      </w:pPr>
      <w:r>
        <w:rPr>
          <w:color w:val="auto"/>
        </w:rPr>
        <w:t>市医保局会同相关部门，每年对各</w:t>
      </w:r>
      <w:r>
        <w:rPr>
          <w:rFonts w:hint="eastAsia"/>
          <w:color w:val="auto"/>
          <w:lang w:eastAsia="zh-CN"/>
        </w:rPr>
        <w:t>县</w:t>
      </w:r>
      <w:r>
        <w:rPr>
          <w:color w:val="auto"/>
        </w:rPr>
        <w:t>（</w:t>
      </w:r>
      <w:r>
        <w:rPr>
          <w:rFonts w:hint="eastAsia"/>
          <w:color w:val="auto"/>
          <w:lang w:eastAsia="zh-CN"/>
        </w:rPr>
        <w:t>市、区</w:t>
      </w:r>
      <w:r>
        <w:rPr>
          <w:color w:val="auto"/>
        </w:rPr>
        <w:t>）的医药机构承载能力进行一次全面评估</w:t>
      </w:r>
      <w:r>
        <w:rPr>
          <w:rFonts w:hint="eastAsia"/>
          <w:color w:val="auto"/>
          <w:lang w:eastAsia="zh-CN"/>
        </w:rPr>
        <w:t>。评估指标由市医保中心根据实际情况制定</w:t>
      </w:r>
      <w:r>
        <w:rPr>
          <w:color w:val="auto"/>
        </w:rPr>
        <w:t>。</w:t>
      </w:r>
    </w:p>
    <w:p w14:paraId="2680E95E">
      <w:pPr>
        <w:pStyle w:val="11"/>
        <w:keepNext/>
        <w:pageBreakBefore w:val="0"/>
        <w:widowControl/>
        <w:kinsoku/>
        <w:wordWrap/>
        <w:overflowPunct/>
        <w:topLinePunct w:val="0"/>
        <w:autoSpaceDE/>
        <w:autoSpaceDN/>
        <w:bidi w:val="0"/>
        <w:adjustRightInd/>
        <w:snapToGrid/>
        <w:textAlignment w:val="auto"/>
        <w:rPr>
          <w:rFonts w:hint="eastAsia"/>
          <w:color w:val="auto"/>
          <w:lang w:eastAsia="zh-CN"/>
        </w:rPr>
      </w:pPr>
      <w:r>
        <w:rPr>
          <w:rFonts w:hint="eastAsia"/>
          <w:color w:val="auto"/>
          <w:lang w:eastAsia="zh-CN"/>
        </w:rPr>
        <w:t>全市现有定点医药机构数量超过本规划总量的，原则上不再新增定点医药机构。</w:t>
      </w:r>
    </w:p>
    <w:p w14:paraId="73FABC55">
      <w:pPr>
        <w:pStyle w:val="11"/>
        <w:keepNext/>
        <w:pageBreakBefore w:val="0"/>
        <w:widowControl/>
        <w:kinsoku/>
        <w:wordWrap/>
        <w:overflowPunct/>
        <w:topLinePunct w:val="0"/>
        <w:autoSpaceDE/>
        <w:autoSpaceDN/>
        <w:bidi w:val="0"/>
        <w:adjustRightInd/>
        <w:snapToGrid/>
        <w:textAlignment w:val="auto"/>
        <w:rPr>
          <w:rFonts w:hint="eastAsia" w:cs="仿宋_GB2312"/>
          <w:color w:val="auto"/>
          <w:lang w:val="en-US" w:eastAsia="zh-CN"/>
        </w:rPr>
      </w:pPr>
      <w:r>
        <w:rPr>
          <w:rFonts w:hint="eastAsia"/>
          <w:color w:val="auto"/>
          <w:lang w:eastAsia="zh-CN"/>
        </w:rPr>
        <w:t>对于</w:t>
      </w:r>
      <w:r>
        <w:rPr>
          <w:rFonts w:hint="eastAsia"/>
          <w:color w:val="auto"/>
          <w:lang w:val="en-US" w:eastAsia="zh-CN"/>
        </w:rPr>
        <w:t>某等级</w:t>
      </w:r>
      <w:r>
        <w:rPr>
          <w:rFonts w:hint="eastAsia"/>
          <w:color w:val="auto"/>
          <w:lang w:eastAsia="zh-CN"/>
        </w:rPr>
        <w:t>住院</w:t>
      </w:r>
      <w:r>
        <w:rPr>
          <w:rFonts w:hint="eastAsia"/>
          <w:color w:val="auto"/>
          <w:lang w:val="en-US" w:eastAsia="zh-CN"/>
        </w:rPr>
        <w:t>医疗机构</w:t>
      </w:r>
      <w:r>
        <w:rPr>
          <w:rFonts w:hint="eastAsia"/>
          <w:color w:val="auto"/>
          <w:lang w:eastAsia="zh-CN"/>
        </w:rPr>
        <w:t>床位数已超出规划总量，但</w:t>
      </w:r>
      <w:r>
        <w:rPr>
          <w:rFonts w:hint="eastAsia"/>
          <w:color w:val="auto"/>
          <w:lang w:val="en-US" w:eastAsia="zh-CN"/>
        </w:rPr>
        <w:t>仍存在其他等级</w:t>
      </w:r>
      <w:r>
        <w:rPr>
          <w:rFonts w:hint="eastAsia"/>
          <w:color w:val="auto"/>
          <w:lang w:eastAsia="zh-CN"/>
        </w:rPr>
        <w:t>住院定点医疗机构资源需求缺口较大的县(市、区)，逐渐消化其他等级住院医疗机构原有存量床位后，再将符合等级条件的住院医疗机构按规定择优纳入定点管理。对于门诊类定点医疗机构或定点零售药店数量少于规划数量的区域，或已超过规划数量但机构分布不均衡的区域，可根据区域内同类型定点医药机构退出医保协议管理的数量确定相应区域内的定点医药机构准入数量，并按规定将符合条件的医药机构择优纳入定点管理。</w:t>
      </w:r>
      <w:r>
        <w:rPr>
          <w:rFonts w:hint="eastAsia" w:cs="仿宋_GB2312"/>
          <w:color w:val="auto"/>
          <w:lang w:val="en-US" w:eastAsia="zh-CN"/>
        </w:rPr>
        <w:t>鼓励原定点医院转型，或将原有床位转型为辖区内紧缺的专科医院或科目（含长护险定点医院）。</w:t>
      </w:r>
    </w:p>
    <w:p w14:paraId="5A6A63DA">
      <w:pPr>
        <w:pStyle w:val="11"/>
        <w:keepNext/>
        <w:pageBreakBefore w:val="0"/>
        <w:widowControl/>
        <w:kinsoku/>
        <w:wordWrap/>
        <w:overflowPunct/>
        <w:topLinePunct w:val="0"/>
        <w:autoSpaceDE/>
        <w:autoSpaceDN/>
        <w:bidi w:val="0"/>
        <w:adjustRightInd/>
        <w:snapToGrid/>
        <w:textAlignment w:val="auto"/>
        <w:rPr>
          <w:rFonts w:hint="eastAsia" w:cs="仿宋_GB2312"/>
          <w:color w:val="auto"/>
          <w:lang w:val="en-US" w:eastAsia="zh-CN"/>
        </w:rPr>
      </w:pPr>
      <w:r>
        <w:rPr>
          <w:rFonts w:hint="eastAsia" w:ascii="仿宋_GB2312" w:hAnsi="仿宋_GB2312" w:eastAsia="仿宋_GB2312" w:cs="仿宋_GB2312"/>
          <w:color w:val="auto"/>
          <w:lang w:eastAsia="zh-CN"/>
        </w:rPr>
        <w:t>对于基层医疗服务网点，应确保每个乡镇中心区至少有</w:t>
      </w:r>
      <w:r>
        <w:rPr>
          <w:rFonts w:hint="eastAsia" w:cs="仿宋_GB2312"/>
          <w:color w:val="auto"/>
          <w:lang w:val="en-US" w:eastAsia="zh-CN"/>
        </w:rPr>
        <w:t>1</w:t>
      </w:r>
      <w:r>
        <w:rPr>
          <w:rFonts w:hint="eastAsia" w:ascii="仿宋_GB2312" w:hAnsi="仿宋_GB2312" w:eastAsia="仿宋_GB2312" w:cs="仿宋_GB2312"/>
          <w:color w:val="auto"/>
          <w:lang w:eastAsia="zh-CN"/>
        </w:rPr>
        <w:t>家定点零售药店，每个行政村至少有</w:t>
      </w:r>
      <w:r>
        <w:rPr>
          <w:rFonts w:hint="eastAsia" w:cs="仿宋_GB2312"/>
          <w:color w:val="auto"/>
          <w:lang w:val="en-US" w:eastAsia="zh-CN"/>
        </w:rPr>
        <w:t>1</w:t>
      </w:r>
      <w:r>
        <w:rPr>
          <w:rFonts w:hint="eastAsia" w:ascii="仿宋_GB2312" w:hAnsi="仿宋_GB2312" w:eastAsia="仿宋_GB2312" w:cs="仿宋_GB2312"/>
          <w:color w:val="auto"/>
          <w:lang w:eastAsia="zh-CN"/>
        </w:rPr>
        <w:t>家定点村卫生室，实现医保服务全覆盖。</w:t>
      </w:r>
      <w:bookmarkStart w:id="0" w:name="_GoBack"/>
      <w:bookmarkEnd w:id="0"/>
    </w:p>
    <w:p w14:paraId="2F685089">
      <w:pPr>
        <w:pStyle w:val="11"/>
        <w:keepNext/>
        <w:pageBreakBefore w:val="0"/>
        <w:widowControl/>
        <w:kinsoku/>
        <w:wordWrap/>
        <w:overflowPunct/>
        <w:topLinePunct w:val="0"/>
        <w:autoSpaceDE/>
        <w:autoSpaceDN/>
        <w:bidi w:val="0"/>
        <w:adjustRightInd/>
        <w:snapToGrid/>
        <w:ind w:left="0" w:leftChars="0" w:firstLine="616" w:firstLineChars="200"/>
        <w:textAlignment w:val="auto"/>
        <w:rPr>
          <w:color w:val="auto"/>
        </w:rPr>
      </w:pPr>
      <w:r>
        <w:rPr>
          <w:rFonts w:hint="eastAsia"/>
          <w:color w:val="auto"/>
        </w:rPr>
        <w:t>新设机构需经历6个月辅导期，期间各级医保经办机构需加强监管，督促其定期报送运营数据，严格履行服务协议。各级医保</w:t>
      </w:r>
      <w:r>
        <w:rPr>
          <w:rFonts w:hint="eastAsia"/>
          <w:color w:val="auto"/>
          <w:lang w:eastAsia="zh-CN"/>
        </w:rPr>
        <w:t>经办机构</w:t>
      </w:r>
      <w:r>
        <w:rPr>
          <w:rFonts w:hint="eastAsia"/>
          <w:color w:val="auto"/>
        </w:rPr>
        <w:t>负责对辖区内定点医疗机构的备案床位数</w:t>
      </w:r>
      <w:r>
        <w:rPr>
          <w:rFonts w:hint="eastAsia"/>
          <w:color w:val="auto"/>
          <w:lang w:val="en-US" w:eastAsia="zh-CN"/>
        </w:rPr>
        <w:t>及医护、医技人员</w:t>
      </w:r>
      <w:r>
        <w:rPr>
          <w:rFonts w:hint="eastAsia"/>
          <w:color w:val="auto"/>
        </w:rPr>
        <w:t>进行登记和管理</w:t>
      </w:r>
      <w:r>
        <w:rPr>
          <w:rFonts w:hint="eastAsia"/>
          <w:color w:val="auto"/>
          <w:lang w:eastAsia="zh-CN"/>
        </w:rPr>
        <w:t>，</w:t>
      </w:r>
      <w:r>
        <w:rPr>
          <w:rFonts w:hint="eastAsia"/>
          <w:color w:val="auto"/>
        </w:rPr>
        <w:t>动态掌握区域内床位资源配置情况</w:t>
      </w:r>
      <w:r>
        <w:rPr>
          <w:rFonts w:hint="eastAsia"/>
          <w:color w:val="auto"/>
          <w:lang w:eastAsia="zh-CN"/>
        </w:rPr>
        <w:t>，</w:t>
      </w:r>
      <w:r>
        <w:rPr>
          <w:rFonts w:hint="eastAsia"/>
          <w:color w:val="auto"/>
        </w:rPr>
        <w:t>备案</w:t>
      </w:r>
      <w:r>
        <w:rPr>
          <w:rFonts w:hint="eastAsia"/>
          <w:color w:val="auto"/>
          <w:lang w:val="en-US" w:eastAsia="zh-CN"/>
        </w:rPr>
        <w:t>审批</w:t>
      </w:r>
      <w:r>
        <w:rPr>
          <w:rFonts w:hint="eastAsia"/>
          <w:color w:val="auto"/>
        </w:rPr>
        <w:t>床位数将作为医疗机构</w:t>
      </w:r>
      <w:r>
        <w:rPr>
          <w:rFonts w:hint="eastAsia"/>
          <w:color w:val="auto"/>
          <w:lang w:eastAsia="zh-CN"/>
        </w:rPr>
        <w:t>资源配置</w:t>
      </w:r>
      <w:r>
        <w:rPr>
          <w:rFonts w:hint="eastAsia"/>
          <w:color w:val="auto"/>
        </w:rPr>
        <w:t>和风险监测的重要依据。</w:t>
      </w:r>
    </w:p>
    <w:p w14:paraId="64CF8BE1">
      <w:pPr>
        <w:pStyle w:val="11"/>
        <w:keepNext/>
        <w:pageBreakBefore w:val="0"/>
        <w:widowControl/>
        <w:kinsoku/>
        <w:wordWrap/>
        <w:overflowPunct/>
        <w:topLinePunct w:val="0"/>
        <w:autoSpaceDE/>
        <w:autoSpaceDN/>
        <w:bidi w:val="0"/>
        <w:adjustRightInd/>
        <w:snapToGrid/>
        <w:textAlignment w:val="auto"/>
        <w:rPr>
          <w:rFonts w:hint="default"/>
          <w:color w:val="auto"/>
          <w:lang w:val="en-US" w:eastAsia="zh-CN"/>
        </w:rPr>
      </w:pPr>
      <w:r>
        <w:rPr>
          <w:rFonts w:hint="eastAsia"/>
          <w:color w:val="auto"/>
        </w:rPr>
        <w:t>医疗机构应如实</w:t>
      </w:r>
      <w:r>
        <w:rPr>
          <w:rFonts w:hint="eastAsia"/>
          <w:color w:val="auto"/>
          <w:lang w:val="en-US" w:eastAsia="zh-CN"/>
        </w:rPr>
        <w:t>向</w:t>
      </w:r>
      <w:r>
        <w:rPr>
          <w:rFonts w:hint="eastAsia"/>
          <w:color w:val="auto"/>
        </w:rPr>
        <w:t>医保</w:t>
      </w:r>
      <w:r>
        <w:rPr>
          <w:rFonts w:hint="eastAsia"/>
          <w:color w:val="auto"/>
          <w:lang w:val="en-US" w:eastAsia="zh-CN"/>
        </w:rPr>
        <w:t>部门</w:t>
      </w:r>
      <w:r>
        <w:rPr>
          <w:rFonts w:hint="eastAsia"/>
          <w:color w:val="auto"/>
        </w:rPr>
        <w:t>申报床位数，拟申请新增床位的</w:t>
      </w:r>
      <w:r>
        <w:rPr>
          <w:rFonts w:hint="eastAsia"/>
          <w:color w:val="auto"/>
          <w:spacing w:val="-2"/>
        </w:rPr>
        <w:t>，需报</w:t>
      </w:r>
      <w:r>
        <w:rPr>
          <w:rFonts w:hint="eastAsia"/>
          <w:color w:val="auto"/>
          <w:spacing w:val="-2"/>
          <w:lang w:val="en-US" w:eastAsia="zh-CN"/>
        </w:rPr>
        <w:t>同级</w:t>
      </w:r>
      <w:r>
        <w:rPr>
          <w:rFonts w:hint="eastAsia"/>
          <w:color w:val="auto"/>
          <w:spacing w:val="-2"/>
        </w:rPr>
        <w:t>医保</w:t>
      </w:r>
      <w:r>
        <w:rPr>
          <w:rFonts w:hint="eastAsia"/>
          <w:color w:val="auto"/>
          <w:spacing w:val="-2"/>
          <w:lang w:val="en-US" w:eastAsia="zh-CN"/>
        </w:rPr>
        <w:t>中心</w:t>
      </w:r>
      <w:r>
        <w:rPr>
          <w:rFonts w:hint="eastAsia"/>
          <w:color w:val="auto"/>
          <w:spacing w:val="-2"/>
        </w:rPr>
        <w:t>同意后</w:t>
      </w:r>
      <w:r>
        <w:rPr>
          <w:rFonts w:hint="eastAsia"/>
          <w:color w:val="auto"/>
          <w:spacing w:val="-2"/>
          <w:lang w:val="en-US" w:eastAsia="zh-CN"/>
        </w:rPr>
        <w:t>上报市医保中心审批</w:t>
      </w:r>
      <w:r>
        <w:rPr>
          <w:rFonts w:hint="eastAsia"/>
          <w:color w:val="auto"/>
          <w:spacing w:val="-2"/>
        </w:rPr>
        <w:t>方可纳入医</w:t>
      </w:r>
      <w:r>
        <w:rPr>
          <w:rFonts w:hint="eastAsia"/>
          <w:color w:val="auto"/>
          <w:spacing w:val="-6"/>
        </w:rPr>
        <w:t>保</w:t>
      </w:r>
      <w:r>
        <w:rPr>
          <w:rFonts w:hint="eastAsia"/>
          <w:color w:val="auto"/>
        </w:rPr>
        <w:t>报销</w:t>
      </w:r>
      <w:r>
        <w:rPr>
          <w:rFonts w:hint="eastAsia"/>
          <w:color w:val="auto"/>
          <w:lang w:eastAsia="zh-CN"/>
        </w:rPr>
        <w:t>。</w:t>
      </w:r>
      <w:r>
        <w:rPr>
          <w:rFonts w:hint="eastAsia"/>
          <w:color w:val="auto"/>
          <w:lang w:val="en-US" w:eastAsia="zh-CN"/>
        </w:rPr>
        <w:t>辖区医保中心审核</w:t>
      </w:r>
      <w:r>
        <w:rPr>
          <w:rFonts w:hint="eastAsia"/>
          <w:color w:val="auto"/>
        </w:rPr>
        <w:t>新增床位</w:t>
      </w:r>
      <w:r>
        <w:rPr>
          <w:rFonts w:hint="eastAsia"/>
          <w:color w:val="auto"/>
          <w:lang w:val="en-US" w:eastAsia="zh-CN"/>
        </w:rPr>
        <w:t>申请时应充分考虑医疗机构的现有建筑面积和医务人员的配比。</w:t>
      </w:r>
    </w:p>
    <w:p w14:paraId="375B2E39">
      <w:pPr>
        <w:pStyle w:val="2"/>
        <w:keepNext/>
        <w:pageBreakBefore w:val="0"/>
        <w:widowControl/>
        <w:numPr>
          <w:ilvl w:val="0"/>
          <w:numId w:val="1"/>
        </w:numPr>
        <w:kinsoku/>
        <w:wordWrap/>
        <w:overflowPunct/>
        <w:topLinePunct w:val="0"/>
        <w:autoSpaceDE/>
        <w:autoSpaceDN/>
        <w:bidi w:val="0"/>
        <w:adjustRightInd/>
        <w:snapToGrid/>
        <w:ind w:left="0" w:leftChars="0" w:firstLine="640" w:firstLineChars="0"/>
        <w:textAlignment w:val="auto"/>
        <w:rPr>
          <w:b w:val="0"/>
          <w:color w:val="auto"/>
        </w:rPr>
      </w:pPr>
      <w:r>
        <w:rPr>
          <w:color w:val="auto"/>
        </w:rPr>
        <w:t>新增机构准入评估流程</w:t>
      </w:r>
    </w:p>
    <w:p w14:paraId="75B9C17D">
      <w:pPr>
        <w:pStyle w:val="11"/>
        <w:keepNext/>
        <w:pageBreakBefore w:val="0"/>
        <w:widowControl/>
        <w:kinsoku/>
        <w:wordWrap/>
        <w:overflowPunct/>
        <w:topLinePunct w:val="0"/>
        <w:autoSpaceDE/>
        <w:autoSpaceDN/>
        <w:bidi w:val="0"/>
        <w:adjustRightInd/>
        <w:snapToGrid/>
        <w:textAlignment w:val="auto"/>
        <w:rPr>
          <w:rFonts w:hint="eastAsia"/>
          <w:color w:val="auto"/>
          <w:lang w:eastAsia="zh-CN"/>
        </w:rPr>
      </w:pPr>
      <w:r>
        <w:rPr>
          <w:rFonts w:hint="eastAsia"/>
          <w:color w:val="auto"/>
          <w:lang w:eastAsia="zh-CN"/>
        </w:rPr>
        <w:t>对于符合新增条件的区域，严格按照既定程序开展申请机构准入工作：经初步审核符合条件后纳入定点范围，并在辅导期满后组织专项评估，依据评估结果依法依规确定最终纳入定点管理机构名单。</w:t>
      </w:r>
    </w:p>
    <w:p w14:paraId="528188D6">
      <w:pPr>
        <w:pStyle w:val="11"/>
        <w:keepNext/>
        <w:pageBreakBefore w:val="0"/>
        <w:widowControl/>
        <w:kinsoku/>
        <w:wordWrap/>
        <w:overflowPunct/>
        <w:topLinePunct w:val="0"/>
        <w:autoSpaceDE/>
        <w:autoSpaceDN/>
        <w:bidi w:val="0"/>
        <w:adjustRightInd/>
        <w:snapToGrid/>
        <w:textAlignment w:val="auto"/>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（一）资格初审</w:t>
      </w:r>
    </w:p>
    <w:p w14:paraId="75DBB945">
      <w:pPr>
        <w:pStyle w:val="11"/>
        <w:keepNext/>
        <w:pageBreakBefore w:val="0"/>
        <w:widowControl/>
        <w:kinsoku/>
        <w:wordWrap/>
        <w:overflowPunct/>
        <w:topLinePunct w:val="0"/>
        <w:autoSpaceDE/>
        <w:autoSpaceDN/>
        <w:bidi w:val="0"/>
        <w:adjustRightInd/>
        <w:snapToGrid/>
        <w:textAlignment w:val="auto"/>
        <w:rPr>
          <w:rFonts w:hint="eastAsia"/>
          <w:color w:val="auto"/>
          <w:lang w:eastAsia="zh-CN"/>
        </w:rPr>
      </w:pPr>
      <w:r>
        <w:rPr>
          <w:rFonts w:hint="eastAsia"/>
          <w:color w:val="auto"/>
          <w:lang w:eastAsia="zh-CN"/>
        </w:rPr>
        <w:t>审核申请机构</w:t>
      </w:r>
      <w:r>
        <w:rPr>
          <w:rFonts w:hint="eastAsia"/>
          <w:color w:val="auto"/>
          <w:lang w:val="en-US" w:eastAsia="zh-CN"/>
        </w:rPr>
        <w:t>应</w:t>
      </w:r>
      <w:r>
        <w:rPr>
          <w:rFonts w:hint="eastAsia"/>
          <w:color w:val="auto"/>
          <w:lang w:eastAsia="zh-CN"/>
        </w:rPr>
        <w:t>具备国家及自治区规定的基本准入条件。零售药店在符合定点基本准入条件的基础上，城市建成区须严格遵循“15分钟医保服务圈”建设标准，服务半径800米范围内可设置1－3家。乡镇中心区原则上应配备不少于1家定点零售药店。通过初审的机构，可先行纳入定点管理，进入6个月辅导期。</w:t>
      </w:r>
    </w:p>
    <w:p w14:paraId="34359DE2">
      <w:pPr>
        <w:pStyle w:val="11"/>
        <w:keepNext/>
        <w:pageBreakBefore w:val="0"/>
        <w:widowControl/>
        <w:kinsoku/>
        <w:wordWrap/>
        <w:overflowPunct/>
        <w:topLinePunct w:val="0"/>
        <w:autoSpaceDE/>
        <w:autoSpaceDN/>
        <w:bidi w:val="0"/>
        <w:adjustRightInd/>
        <w:snapToGrid/>
        <w:textAlignment w:val="auto"/>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（二）辅导期数据评估</w:t>
      </w:r>
    </w:p>
    <w:p w14:paraId="03EF889C">
      <w:pPr>
        <w:pStyle w:val="11"/>
        <w:keepNext/>
        <w:pageBreakBefore w:val="0"/>
        <w:widowControl/>
        <w:kinsoku/>
        <w:wordWrap/>
        <w:overflowPunct/>
        <w:topLinePunct w:val="0"/>
        <w:autoSpaceDE/>
        <w:autoSpaceDN/>
        <w:bidi w:val="0"/>
        <w:adjustRightInd/>
        <w:snapToGrid/>
        <w:textAlignment w:val="auto"/>
        <w:rPr>
          <w:rFonts w:hint="eastAsia"/>
          <w:color w:val="auto"/>
          <w:lang w:eastAsia="zh-CN"/>
        </w:rPr>
      </w:pPr>
      <w:r>
        <w:rPr>
          <w:rFonts w:hint="eastAsia"/>
          <w:color w:val="auto"/>
          <w:lang w:eastAsia="zh-CN"/>
        </w:rPr>
        <w:t>辅导期结束后，重点评估机构医保管理能力。</w:t>
      </w:r>
    </w:p>
    <w:p w14:paraId="5630DD52">
      <w:pPr>
        <w:pStyle w:val="11"/>
        <w:keepNext/>
        <w:pageBreakBefore w:val="0"/>
        <w:widowControl/>
        <w:kinsoku/>
        <w:wordWrap/>
        <w:overflowPunct/>
        <w:topLinePunct w:val="0"/>
        <w:autoSpaceDE/>
        <w:autoSpaceDN/>
        <w:bidi w:val="0"/>
        <w:adjustRightInd/>
        <w:snapToGrid/>
        <w:textAlignment w:val="auto"/>
        <w:rPr>
          <w:rFonts w:hint="eastAsia"/>
          <w:color w:val="auto"/>
          <w:lang w:eastAsia="zh-CN"/>
        </w:rPr>
      </w:pPr>
      <w:r>
        <w:rPr>
          <w:rFonts w:hint="eastAsia"/>
          <w:color w:val="auto"/>
          <w:lang w:eastAsia="zh-CN"/>
        </w:rPr>
        <w:t>1．定点医疗机构：医保结算清单上传率（含住院和门诊慢性病），医保贯标码质控率。</w:t>
      </w:r>
    </w:p>
    <w:p w14:paraId="41A08EDD">
      <w:pPr>
        <w:pStyle w:val="11"/>
        <w:keepNext/>
        <w:pageBreakBefore w:val="0"/>
        <w:widowControl/>
        <w:kinsoku/>
        <w:wordWrap/>
        <w:overflowPunct/>
        <w:topLinePunct w:val="0"/>
        <w:autoSpaceDE/>
        <w:autoSpaceDN/>
        <w:bidi w:val="0"/>
        <w:adjustRightInd/>
        <w:snapToGrid/>
        <w:textAlignment w:val="auto"/>
        <w:rPr>
          <w:rFonts w:hint="eastAsia"/>
          <w:color w:val="auto"/>
          <w:lang w:eastAsia="zh-CN"/>
        </w:rPr>
      </w:pPr>
      <w:r>
        <w:rPr>
          <w:rFonts w:hint="eastAsia"/>
          <w:color w:val="auto"/>
          <w:lang w:eastAsia="zh-CN"/>
        </w:rPr>
        <w:t>2．定点零售药店：根据相关政策监测辅导期内药品量价比较指数。</w:t>
      </w:r>
    </w:p>
    <w:p w14:paraId="58BD4011">
      <w:pPr>
        <w:pStyle w:val="11"/>
        <w:keepNext/>
        <w:pageBreakBefore w:val="0"/>
        <w:widowControl/>
        <w:kinsoku/>
        <w:wordWrap/>
        <w:overflowPunct/>
        <w:topLinePunct w:val="0"/>
        <w:autoSpaceDE/>
        <w:autoSpaceDN/>
        <w:bidi w:val="0"/>
        <w:adjustRightInd/>
        <w:snapToGrid/>
        <w:textAlignment w:val="auto"/>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（三）综合决策</w:t>
      </w:r>
    </w:p>
    <w:p w14:paraId="3CB8CE35">
      <w:pPr>
        <w:pStyle w:val="11"/>
        <w:keepNext/>
        <w:pageBreakBefore w:val="0"/>
        <w:widowControl/>
        <w:kinsoku/>
        <w:wordWrap/>
        <w:overflowPunct/>
        <w:topLinePunct w:val="0"/>
        <w:autoSpaceDE/>
        <w:autoSpaceDN/>
        <w:bidi w:val="0"/>
        <w:adjustRightInd/>
        <w:snapToGrid/>
        <w:textAlignment w:val="auto"/>
        <w:rPr>
          <w:rFonts w:hint="eastAsia"/>
          <w:color w:val="auto"/>
          <w:lang w:eastAsia="zh-CN"/>
        </w:rPr>
      </w:pPr>
      <w:r>
        <w:rPr>
          <w:rFonts w:hint="eastAsia"/>
          <w:color w:val="auto"/>
          <w:lang w:eastAsia="zh-CN"/>
        </w:rPr>
        <w:t>医保结算清单上传率和医保贯标码质控率要求辅导期内必须达到100%。药品量价比较指数要求辅导期内低于监测值。</w:t>
      </w:r>
    </w:p>
    <w:p w14:paraId="6FA156F2">
      <w:pPr>
        <w:pStyle w:val="11"/>
        <w:keepNext/>
        <w:pageBreakBefore w:val="0"/>
        <w:widowControl/>
        <w:kinsoku/>
        <w:wordWrap/>
        <w:overflowPunct/>
        <w:topLinePunct w:val="0"/>
        <w:autoSpaceDE/>
        <w:autoSpaceDN/>
        <w:bidi w:val="0"/>
        <w:adjustRightInd/>
        <w:snapToGrid/>
        <w:textAlignment w:val="auto"/>
        <w:rPr>
          <w:color w:val="auto"/>
          <w:highlight w:val="none"/>
        </w:rPr>
      </w:pPr>
      <w:r>
        <w:rPr>
          <w:rFonts w:hint="eastAsia"/>
          <w:color w:val="auto"/>
          <w:lang w:eastAsia="zh-CN"/>
        </w:rPr>
        <w:t>辅导期结束后，</w:t>
      </w:r>
      <w:r>
        <w:rPr>
          <w:rFonts w:hint="eastAsia"/>
          <w:color w:val="auto"/>
          <w:lang w:val="en-US" w:eastAsia="zh-CN"/>
        </w:rPr>
        <w:t>定点医药机构</w:t>
      </w:r>
      <w:r>
        <w:rPr>
          <w:rFonts w:hint="eastAsia"/>
          <w:color w:val="auto"/>
          <w:lang w:eastAsia="zh-CN"/>
        </w:rPr>
        <w:t>评估不符合要求则可继续延长辅导期6个月后再次评估。两次评估均不符合要求则退出定点管理。</w:t>
      </w:r>
    </w:p>
    <w:p w14:paraId="5ADA1F7A">
      <w:pPr>
        <w:pStyle w:val="2"/>
        <w:keepNext/>
        <w:pageBreakBefore w:val="0"/>
        <w:widowControl/>
        <w:numPr>
          <w:ilvl w:val="0"/>
          <w:numId w:val="1"/>
        </w:numPr>
        <w:kinsoku/>
        <w:wordWrap/>
        <w:overflowPunct/>
        <w:topLinePunct w:val="0"/>
        <w:autoSpaceDE/>
        <w:autoSpaceDN/>
        <w:bidi w:val="0"/>
        <w:adjustRightInd/>
        <w:snapToGrid/>
        <w:ind w:left="0" w:leftChars="0" w:firstLine="640" w:firstLineChars="0"/>
        <w:textAlignment w:val="auto"/>
        <w:rPr>
          <w:b w:val="0"/>
          <w:color w:val="auto"/>
        </w:rPr>
      </w:pPr>
      <w:r>
        <w:rPr>
          <w:color w:val="auto"/>
        </w:rPr>
        <w:t>基金风险防控</w:t>
      </w:r>
    </w:p>
    <w:p w14:paraId="3648D5C0">
      <w:pPr>
        <w:pStyle w:val="11"/>
        <w:keepNext/>
        <w:pageBreakBefore w:val="0"/>
        <w:widowControl/>
        <w:kinsoku/>
        <w:wordWrap/>
        <w:overflowPunct/>
        <w:topLinePunct w:val="0"/>
        <w:autoSpaceDE/>
        <w:autoSpaceDN/>
        <w:bidi w:val="0"/>
        <w:adjustRightInd/>
        <w:snapToGrid/>
        <w:textAlignment w:val="auto"/>
        <w:rPr>
          <w:rFonts w:hint="default"/>
          <w:color w:val="auto"/>
          <w:lang w:val="en-US" w:eastAsia="zh-CN"/>
        </w:rPr>
      </w:pPr>
      <w:r>
        <w:rPr>
          <w:color w:val="auto"/>
        </w:rPr>
        <w:t>建立当期医保基金风险预警机制</w:t>
      </w:r>
      <w:r>
        <w:rPr>
          <w:rFonts w:hint="eastAsia"/>
          <w:color w:val="auto"/>
          <w:lang w:eastAsia="zh-CN"/>
        </w:rPr>
        <w:t>，</w:t>
      </w:r>
      <w:r>
        <w:rPr>
          <w:rFonts w:hint="default"/>
          <w:color w:val="auto"/>
          <w:lang w:val="en-US" w:eastAsia="zh-CN"/>
        </w:rPr>
        <w:t>收到市级及以上医保部门基金运行预警函的，除国家、省、市另有要求外，原则上不再新增定点医药机构。</w:t>
      </w:r>
    </w:p>
    <w:p w14:paraId="045B93B7">
      <w:pPr>
        <w:pStyle w:val="11"/>
        <w:keepNext/>
        <w:pageBreakBefore w:val="0"/>
        <w:widowControl/>
        <w:kinsoku/>
        <w:wordWrap/>
        <w:overflowPunct/>
        <w:topLinePunct w:val="0"/>
        <w:autoSpaceDE/>
        <w:autoSpaceDN/>
        <w:bidi w:val="0"/>
        <w:adjustRightInd/>
        <w:snapToGrid/>
        <w:textAlignment w:val="auto"/>
        <w:rPr>
          <w:color w:val="auto"/>
        </w:rPr>
      </w:pPr>
      <w:r>
        <w:rPr>
          <w:color w:val="auto"/>
        </w:rPr>
        <w:t>当</w:t>
      </w:r>
      <w:r>
        <w:rPr>
          <w:rFonts w:hint="eastAsia"/>
          <w:color w:val="auto"/>
          <w:lang w:val="en-US" w:eastAsia="zh-CN"/>
        </w:rPr>
        <w:t>全市</w:t>
      </w:r>
      <w:r>
        <w:rPr>
          <w:color w:val="auto"/>
        </w:rPr>
        <w:t>基金</w:t>
      </w:r>
      <w:r>
        <w:rPr>
          <w:rFonts w:hint="eastAsia"/>
          <w:color w:val="auto"/>
          <w:lang w:val="en-US" w:eastAsia="zh-CN"/>
        </w:rPr>
        <w:t>可</w:t>
      </w:r>
      <w:r>
        <w:rPr>
          <w:color w:val="auto"/>
        </w:rPr>
        <w:t>支付</w:t>
      </w:r>
      <w:r>
        <w:rPr>
          <w:rFonts w:hint="eastAsia"/>
          <w:color w:val="auto"/>
          <w:lang w:val="en-US" w:eastAsia="zh-CN"/>
        </w:rPr>
        <w:t>月数低于9个月</w:t>
      </w:r>
      <w:r>
        <w:rPr>
          <w:color w:val="auto"/>
        </w:rPr>
        <w:t>时，可暂停</w:t>
      </w:r>
      <w:r>
        <w:rPr>
          <w:rFonts w:hint="eastAsia"/>
          <w:color w:val="auto"/>
          <w:lang w:val="en-US" w:eastAsia="zh-CN"/>
        </w:rPr>
        <w:t>全市</w:t>
      </w:r>
      <w:r>
        <w:rPr>
          <w:color w:val="auto"/>
        </w:rPr>
        <w:t>新增</w:t>
      </w:r>
      <w:r>
        <w:rPr>
          <w:rFonts w:hint="eastAsia"/>
          <w:color w:val="auto"/>
          <w:lang w:val="en-US" w:eastAsia="zh-CN"/>
        </w:rPr>
        <w:t>床位和医疗科目的医保备案审批，同时暂停</w:t>
      </w:r>
      <w:r>
        <w:rPr>
          <w:color w:val="auto"/>
        </w:rPr>
        <w:t>住院类医疗机构和专科类门诊部（</w:t>
      </w:r>
      <w:r>
        <w:rPr>
          <w:rFonts w:hint="eastAsia"/>
          <w:color w:val="auto"/>
          <w:lang w:val="en-US" w:eastAsia="zh-CN"/>
        </w:rPr>
        <w:t>基层中医门诊、特殊科目因地域结构除外</w:t>
      </w:r>
      <w:r>
        <w:rPr>
          <w:color w:val="auto"/>
        </w:rPr>
        <w:t>）的定点准入</w:t>
      </w:r>
      <w:r>
        <w:rPr>
          <w:rFonts w:hint="eastAsia"/>
          <w:color w:val="auto"/>
          <w:lang w:eastAsia="zh-CN"/>
        </w:rPr>
        <w:t>，</w:t>
      </w:r>
      <w:r>
        <w:rPr>
          <w:color w:val="auto"/>
        </w:rPr>
        <w:t>强化现有定点机构监管，防范基金流失风险。</w:t>
      </w:r>
    </w:p>
    <w:p w14:paraId="50927FCE">
      <w:pPr>
        <w:pStyle w:val="11"/>
        <w:keepNext/>
        <w:pageBreakBefore w:val="0"/>
        <w:widowControl/>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全市住院率高于全区平均水平时，</w:t>
      </w:r>
      <w:r>
        <w:rPr>
          <w:rFonts w:hint="eastAsia"/>
          <w:color w:val="auto"/>
          <w:lang w:eastAsia="zh-CN"/>
        </w:rPr>
        <w:t>应</w:t>
      </w:r>
      <w:r>
        <w:rPr>
          <w:color w:val="auto"/>
        </w:rPr>
        <w:t>相应收紧配置阈值</w:t>
      </w:r>
      <w:r>
        <w:rPr>
          <w:rFonts w:hint="eastAsia"/>
          <w:color w:val="auto"/>
          <w:lang w:eastAsia="zh-CN"/>
        </w:rPr>
        <w:t>。</w:t>
      </w:r>
      <w:r>
        <w:rPr>
          <w:rFonts w:hint="eastAsia"/>
          <w:color w:val="auto"/>
          <w:lang w:val="en-US" w:eastAsia="zh-CN"/>
        </w:rPr>
        <w:t>评估医保基金风险较高时，可暂停所有新增审批。</w:t>
      </w:r>
    </w:p>
    <w:p w14:paraId="07BF13AA">
      <w:pPr>
        <w:pStyle w:val="2"/>
        <w:keepNext/>
        <w:pageBreakBefore w:val="0"/>
        <w:widowControl/>
        <w:numPr>
          <w:ilvl w:val="0"/>
          <w:numId w:val="1"/>
        </w:numPr>
        <w:kinsoku/>
        <w:wordWrap/>
        <w:overflowPunct/>
        <w:topLinePunct w:val="0"/>
        <w:autoSpaceDE/>
        <w:autoSpaceDN/>
        <w:bidi w:val="0"/>
        <w:adjustRightInd/>
        <w:snapToGrid/>
        <w:ind w:left="0" w:leftChars="0" w:firstLine="640" w:firstLineChars="0"/>
        <w:textAlignment w:val="auto"/>
        <w:rPr>
          <w:b w:val="0"/>
          <w:color w:val="auto"/>
        </w:rPr>
      </w:pPr>
      <w:r>
        <w:rPr>
          <w:color w:val="auto"/>
        </w:rPr>
        <w:t>动态监测与调整机制</w:t>
      </w:r>
    </w:p>
    <w:p w14:paraId="0291059B">
      <w:pPr>
        <w:pStyle w:val="3"/>
        <w:keepNext/>
        <w:pageBreakBefore w:val="0"/>
        <w:widowControl/>
        <w:kinsoku/>
        <w:wordWrap/>
        <w:overflowPunct/>
        <w:topLinePunct w:val="0"/>
        <w:autoSpaceDE/>
        <w:autoSpaceDN/>
        <w:bidi w:val="0"/>
        <w:adjustRightInd/>
        <w:snapToGrid/>
        <w:textAlignment w:val="auto"/>
        <w:rPr>
          <w:color w:val="auto"/>
        </w:rPr>
      </w:pPr>
      <w:r>
        <w:rPr>
          <w:color w:val="auto"/>
        </w:rPr>
        <w:t>（一）监测指标体系</w:t>
      </w:r>
    </w:p>
    <w:p w14:paraId="679CC2F1">
      <w:pPr>
        <w:pStyle w:val="11"/>
        <w:keepNext/>
        <w:pageBreakBefore w:val="0"/>
        <w:widowControl/>
        <w:kinsoku/>
        <w:wordWrap/>
        <w:overflowPunct/>
        <w:topLinePunct w:val="0"/>
        <w:autoSpaceDE/>
        <w:autoSpaceDN/>
        <w:bidi w:val="0"/>
        <w:adjustRightInd/>
        <w:snapToGrid/>
        <w:textAlignment w:val="auto"/>
        <w:rPr>
          <w:color w:val="auto"/>
        </w:rPr>
      </w:pPr>
      <w:r>
        <w:rPr>
          <w:color w:val="auto"/>
        </w:rPr>
        <w:t>建立涵盖服务量、费用、质量、资源结构符合度等核心指标的动态监测体系。</w:t>
      </w:r>
      <w:r>
        <w:rPr>
          <w:rFonts w:hint="eastAsia"/>
          <w:color w:val="auto"/>
        </w:rPr>
        <w:t>各县（市、区）要立足当前实际，针对现有值与目标值的差距实行分类施策：对数量显著超出目标值或床位使用率长期处于低位的，要着力推进存量结构优化和服务效能提升；对资源未达目标值且存在明显服务缺口的，要在强化绩效评价和区域规划约束的前提下，依法依规核准新增机构与床位资源。</w:t>
      </w:r>
    </w:p>
    <w:p w14:paraId="4A00FD1C">
      <w:pPr>
        <w:pStyle w:val="3"/>
        <w:keepNext/>
        <w:pageBreakBefore w:val="0"/>
        <w:widowControl/>
        <w:kinsoku/>
        <w:wordWrap/>
        <w:overflowPunct/>
        <w:topLinePunct w:val="0"/>
        <w:autoSpaceDE/>
        <w:autoSpaceDN/>
        <w:bidi w:val="0"/>
        <w:adjustRightInd/>
        <w:snapToGrid/>
        <w:textAlignment w:val="auto"/>
        <w:rPr>
          <w:color w:val="auto"/>
        </w:rPr>
      </w:pPr>
      <w:r>
        <w:rPr>
          <w:color w:val="auto"/>
        </w:rPr>
        <w:t>（二）</w:t>
      </w:r>
      <w:r>
        <w:rPr>
          <w:rFonts w:hint="eastAsia"/>
          <w:color w:val="auto"/>
          <w:lang w:val="en-US" w:eastAsia="zh-CN"/>
        </w:rPr>
        <w:t>基金使用</w:t>
      </w:r>
      <w:r>
        <w:rPr>
          <w:color w:val="auto"/>
        </w:rPr>
        <w:t>风险评估</w:t>
      </w:r>
    </w:p>
    <w:p w14:paraId="500D0375">
      <w:pPr>
        <w:pStyle w:val="11"/>
        <w:keepNext/>
        <w:pageBreakBefore w:val="0"/>
        <w:widowControl/>
        <w:kinsoku/>
        <w:wordWrap/>
        <w:overflowPunct/>
        <w:topLinePunct w:val="0"/>
        <w:autoSpaceDE/>
        <w:autoSpaceDN/>
        <w:bidi w:val="0"/>
        <w:adjustRightInd/>
        <w:snapToGrid/>
        <w:textAlignment w:val="auto"/>
        <w:rPr>
          <w:rFonts w:hint="eastAsia"/>
          <w:color w:val="auto"/>
        </w:rPr>
      </w:pPr>
      <w:r>
        <w:rPr>
          <w:rFonts w:hint="eastAsia"/>
          <w:color w:val="auto"/>
          <w:lang w:eastAsia="zh-CN"/>
        </w:rPr>
        <w:t>市医保中心根据实际</w:t>
      </w:r>
      <w:r>
        <w:rPr>
          <w:color w:val="auto"/>
        </w:rPr>
        <w:t>建立</w:t>
      </w:r>
      <w:r>
        <w:rPr>
          <w:rFonts w:hint="eastAsia"/>
          <w:color w:val="auto"/>
          <w:lang w:eastAsia="zh-CN"/>
        </w:rPr>
        <w:t>风险评估指标</w:t>
      </w:r>
      <w:r>
        <w:rPr>
          <w:color w:val="auto"/>
        </w:rPr>
        <w:t>，</w:t>
      </w:r>
      <w:r>
        <w:rPr>
          <w:rFonts w:hint="eastAsia"/>
          <w:color w:val="auto"/>
          <w:lang w:eastAsia="zh-CN"/>
        </w:rPr>
        <w:t>各级医保经办机构</w:t>
      </w:r>
      <w:r>
        <w:rPr>
          <w:color w:val="auto"/>
        </w:rPr>
        <w:t>每</w:t>
      </w:r>
      <w:r>
        <w:rPr>
          <w:rFonts w:hint="eastAsia"/>
          <w:color w:val="auto"/>
          <w:lang w:val="en-US" w:eastAsia="zh-CN"/>
        </w:rPr>
        <w:t>定期</w:t>
      </w:r>
      <w:r>
        <w:rPr>
          <w:color w:val="auto"/>
        </w:rPr>
        <w:t>对已定点机构进行计算评估。</w:t>
      </w:r>
      <w:r>
        <w:rPr>
          <w:rFonts w:hint="eastAsia"/>
          <w:color w:val="auto"/>
        </w:rPr>
        <w:t>根据评估得分，将机构划分为低风险、中风险、高风险三个等级，并采取相应的监管措施。当定点医疗机构的年度出院人次与其备案床位数严重不匹配，可能反映资源错配或服务行为异常时，直接将其风险等级设为高风险，</w:t>
      </w:r>
      <w:r>
        <w:rPr>
          <w:rFonts w:hint="eastAsia"/>
          <w:color w:val="auto"/>
          <w:lang w:val="en-US" w:eastAsia="zh-CN"/>
        </w:rPr>
        <w:t>医保基金监管</w:t>
      </w:r>
      <w:r>
        <w:rPr>
          <w:rFonts w:hint="eastAsia"/>
          <w:color w:val="auto"/>
        </w:rPr>
        <w:t>启动专项调查程序。</w:t>
      </w:r>
    </w:p>
    <w:p w14:paraId="3E04FEA6">
      <w:pPr>
        <w:pStyle w:val="11"/>
        <w:keepNext/>
        <w:pageBreakBefore w:val="0"/>
        <w:widowControl/>
        <w:kinsoku/>
        <w:wordWrap/>
        <w:overflowPunct/>
        <w:topLinePunct w:val="0"/>
        <w:autoSpaceDE/>
        <w:autoSpaceDN/>
        <w:bidi w:val="0"/>
        <w:adjustRightInd/>
        <w:snapToGrid/>
        <w:textAlignment w:val="auto"/>
        <w:rPr>
          <w:rFonts w:hint="default" w:eastAsia="仿宋_GB2312"/>
          <w:color w:val="auto"/>
          <w:lang w:val="en-US" w:eastAsia="zh-CN"/>
        </w:rPr>
      </w:pPr>
      <w:r>
        <w:rPr>
          <w:rFonts w:hint="eastAsia"/>
          <w:color w:val="auto"/>
          <w:lang w:val="en-US" w:eastAsia="zh-CN"/>
        </w:rPr>
        <w:t>本通知自印发之日起执行，国家、自治区有新的规定的，从其规定。</w:t>
      </w:r>
    </w:p>
    <w:p w14:paraId="7A77AACA">
      <w:pPr>
        <w:pStyle w:val="2"/>
        <w:keepNext/>
        <w:pageBreakBefore w:val="0"/>
        <w:widowControl/>
        <w:numPr>
          <w:ilvl w:val="0"/>
          <w:numId w:val="0"/>
        </w:numPr>
        <w:kinsoku/>
        <w:wordWrap/>
        <w:overflowPunct/>
        <w:topLinePunct w:val="0"/>
        <w:autoSpaceDE/>
        <w:autoSpaceDN/>
        <w:bidi w:val="0"/>
        <w:adjustRightInd/>
        <w:snapToGrid/>
        <w:ind w:left="640" w:leftChars="0"/>
        <w:textAlignment w:val="auto"/>
        <w:rPr>
          <w:rFonts w:hint="eastAsia" w:ascii="仿宋_GB2312" w:hAnsi="仿宋_GB2312" w:eastAsia="仿宋_GB2312" w:cs="仿宋_GB2312"/>
          <w:color w:val="auto"/>
          <w:spacing w:val="-6"/>
          <w:kern w:val="0"/>
          <w:sz w:val="32"/>
          <w:szCs w:val="32"/>
          <w:lang w:val="en-US" w:eastAsia="zh-CN"/>
        </w:rPr>
      </w:pPr>
    </w:p>
    <w:p w14:paraId="4F11B910">
      <w:pPr>
        <w:pStyle w:val="11"/>
        <w:keepNext/>
        <w:keepLines w:val="0"/>
        <w:pageBreakBefore w:val="0"/>
        <w:widowControl/>
        <w:numPr>
          <w:ilvl w:val="0"/>
          <w:numId w:val="0"/>
        </w:numPr>
        <w:kinsoku/>
        <w:wordWrap/>
        <w:overflowPunct/>
        <w:topLinePunct w:val="0"/>
        <w:autoSpaceDE/>
        <w:autoSpaceDN/>
        <w:bidi w:val="0"/>
        <w:adjustRightInd/>
        <w:snapToGrid/>
        <w:ind w:firstLine="616"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附件：玉林市定点医药机构资源配置测算指引</w:t>
      </w:r>
    </w:p>
    <w:p w14:paraId="3FB52C67">
      <w:pPr>
        <w:pStyle w:val="11"/>
        <w:keepNext/>
        <w:pageBreakBefore w:val="0"/>
        <w:widowControl/>
        <w:numPr>
          <w:ilvl w:val="0"/>
          <w:numId w:val="0"/>
        </w:numPr>
        <w:kinsoku/>
        <w:wordWrap/>
        <w:overflowPunct/>
        <w:topLinePunct w:val="0"/>
        <w:autoSpaceDE/>
        <w:autoSpaceDN/>
        <w:bidi w:val="0"/>
        <w:adjustRightInd/>
        <w:snapToGrid/>
        <w:ind w:left="1356" w:leftChars="0"/>
        <w:textAlignment w:val="auto"/>
        <w:rPr>
          <w:rFonts w:hint="default" w:ascii="仿宋_GB2312" w:hAnsi="仿宋_GB2312" w:eastAsia="仿宋_GB2312" w:cs="仿宋_GB2312"/>
          <w:color w:val="auto"/>
          <w:spacing w:val="-6"/>
          <w:kern w:val="0"/>
          <w:sz w:val="32"/>
          <w:szCs w:val="32"/>
          <w:lang w:val="en-US" w:eastAsia="zh-CN"/>
        </w:rPr>
      </w:pPr>
    </w:p>
    <w:p w14:paraId="03EF2FE5">
      <w:pPr>
        <w:pStyle w:val="11"/>
        <w:keepNext/>
        <w:pageBreakBefore w:val="0"/>
        <w:widowControl/>
        <w:numPr>
          <w:ilvl w:val="0"/>
          <w:numId w:val="0"/>
        </w:numPr>
        <w:kinsoku/>
        <w:wordWrap/>
        <w:overflowPunct/>
        <w:topLinePunct w:val="0"/>
        <w:autoSpaceDE/>
        <w:autoSpaceDN/>
        <w:bidi w:val="0"/>
        <w:adjustRightInd/>
        <w:snapToGrid/>
        <w:ind w:firstLine="4620" w:firstLineChars="1500"/>
        <w:textAlignment w:val="auto"/>
        <w:rPr>
          <w:rFonts w:hint="eastAsia" w:cs="仿宋_GB2312"/>
          <w:color w:val="auto"/>
          <w:spacing w:val="-6"/>
          <w:kern w:val="0"/>
          <w:sz w:val="32"/>
          <w:szCs w:val="32"/>
          <w:lang w:val="en-US" w:eastAsia="zh-CN"/>
        </w:rPr>
      </w:pPr>
      <w:r>
        <w:rPr>
          <w:rFonts w:hint="eastAsia" w:cs="仿宋_GB2312"/>
          <w:color w:val="auto"/>
          <w:spacing w:val="-6"/>
          <w:kern w:val="0"/>
          <w:sz w:val="32"/>
          <w:szCs w:val="32"/>
          <w:lang w:val="en-US" w:eastAsia="zh-CN"/>
        </w:rPr>
        <w:t>玉林市医疗保障局</w:t>
      </w:r>
    </w:p>
    <w:p w14:paraId="583E7D38">
      <w:pPr>
        <w:pStyle w:val="11"/>
        <w:keepNext/>
        <w:pageBreakBefore w:val="0"/>
        <w:widowControl/>
        <w:numPr>
          <w:ilvl w:val="0"/>
          <w:numId w:val="0"/>
        </w:numPr>
        <w:kinsoku/>
        <w:wordWrap/>
        <w:overflowPunct/>
        <w:topLinePunct w:val="0"/>
        <w:autoSpaceDE/>
        <w:autoSpaceDN/>
        <w:bidi w:val="0"/>
        <w:adjustRightInd/>
        <w:snapToGrid/>
        <w:ind w:firstLine="4620" w:firstLineChars="1500"/>
        <w:textAlignment w:val="auto"/>
        <w:rPr>
          <w:rFonts w:hint="default" w:cs="仿宋_GB2312"/>
          <w:color w:val="auto"/>
          <w:spacing w:val="-6"/>
          <w:kern w:val="0"/>
          <w:sz w:val="32"/>
          <w:szCs w:val="32"/>
          <w:lang w:val="en-US" w:eastAsia="zh-CN"/>
        </w:rPr>
      </w:pPr>
      <w:r>
        <w:rPr>
          <w:rFonts w:hint="eastAsia" w:cs="仿宋_GB2312"/>
          <w:color w:val="auto"/>
          <w:spacing w:val="-6"/>
          <w:kern w:val="0"/>
          <w:sz w:val="32"/>
          <w:szCs w:val="32"/>
          <w:lang w:val="en-US" w:eastAsia="zh-CN"/>
        </w:rPr>
        <w:t>2026年 月  日</w:t>
      </w:r>
    </w:p>
    <w:p w14:paraId="37F53CBC">
      <w:pPr>
        <w:pStyle w:val="11"/>
      </w:pPr>
    </w:p>
    <w:p w14:paraId="0C12638E">
      <w:pPr>
        <w:pStyle w:val="18"/>
      </w:pPr>
    </w:p>
    <w:p w14:paraId="22421115">
      <w:pPr>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 w:linePitch="312" w:charSpace="0"/>
        </w:sectPr>
      </w:pPr>
    </w:p>
    <w:p w14:paraId="09A98C6E">
      <w:pPr>
        <w:pStyle w:val="18"/>
        <w:pageBreakBefore w:val="0"/>
        <w:kinsoku/>
        <w:wordWrap/>
        <w:autoSpaceDE/>
        <w:autoSpaceDN/>
        <w:bidi w:val="0"/>
        <w:adjustRightInd/>
        <w:snapToGrid/>
        <w:spacing w:line="560" w:lineRule="exact"/>
        <w:textAlignment w:val="auto"/>
      </w:pPr>
      <w:r>
        <w:t>附件</w:t>
      </w:r>
    </w:p>
    <w:p w14:paraId="6E906BB4"/>
    <w:p w14:paraId="52D67CBD">
      <w:pPr>
        <w:pStyle w:val="3"/>
        <w:pageBreakBefore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玉林市定点医药机构资源配置测算指引</w:t>
      </w:r>
    </w:p>
    <w:p w14:paraId="3598B277">
      <w:pPr>
        <w:pageBreakBefore w:val="0"/>
        <w:kinsoku/>
        <w:wordWrap/>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78B05258">
      <w:pPr>
        <w:pStyle w:val="3"/>
        <w:pageBreakBefore w:val="0"/>
        <w:kinsoku/>
        <w:wordWrap/>
        <w:autoSpaceDE/>
        <w:autoSpaceDN/>
        <w:bidi w:val="0"/>
        <w:adjustRightInd/>
        <w:snapToGrid/>
        <w:spacing w:line="560" w:lineRule="exact"/>
        <w:ind w:left="0" w:leftChars="0" w:firstLine="640" w:firstLineChars="200"/>
        <w:textAlignment w:val="auto"/>
      </w:pPr>
      <w:r>
        <w:rPr>
          <w:rFonts w:hint="eastAsia"/>
          <w:lang w:val="en-US" w:eastAsia="zh-CN"/>
        </w:rPr>
        <w:t>(一）</w:t>
      </w:r>
      <w:r>
        <w:t>区域床位总需求测算</w:t>
      </w:r>
    </w:p>
    <w:p w14:paraId="3815166B">
      <w:pPr>
        <w:pStyle w:val="11"/>
        <w:pageBreakBefore w:val="0"/>
        <w:kinsoku/>
        <w:wordWrap/>
        <w:autoSpaceDE/>
        <w:autoSpaceDN/>
        <w:bidi w:val="0"/>
        <w:adjustRightInd/>
        <w:snapToGrid/>
        <w:spacing w:line="560" w:lineRule="exact"/>
        <w:textAlignment w:val="auto"/>
      </w:pPr>
      <w:r>
        <w:rPr>
          <w:spacing w:val="-2"/>
        </w:rPr>
        <w:t>根据国家文件，区域床位配置以“千人床位数”为基准进</w:t>
      </w:r>
      <w:r>
        <w:rPr>
          <w:spacing w:val="-6"/>
        </w:rPr>
        <w:t>行</w:t>
      </w:r>
      <w:r>
        <w:t>测算。</w:t>
      </w:r>
    </w:p>
    <w:p w14:paraId="306A1977">
      <w:pPr>
        <w:pStyle w:val="4"/>
        <w:pageBreakBefore w:val="0"/>
        <w:numPr>
          <w:ilvl w:val="0"/>
          <w:numId w:val="0"/>
        </w:numPr>
        <w:kinsoku/>
        <w:wordWrap/>
        <w:topLinePunct w:val="0"/>
        <w:autoSpaceDE/>
        <w:autoSpaceDN/>
        <w:bidi w:val="0"/>
        <w:adjustRightInd/>
        <w:snapToGrid/>
        <w:spacing w:line="560" w:lineRule="exact"/>
        <w:ind w:left="640" w:leftChars="0"/>
        <w:textAlignment w:val="auto"/>
        <w:rPr>
          <w:b/>
          <w:bCs/>
        </w:rPr>
      </w:pPr>
      <w:r>
        <w:rPr>
          <w:rFonts w:hint="eastAsia"/>
          <w:b/>
          <w:bCs/>
          <w:lang w:val="en-US" w:eastAsia="zh-CN"/>
        </w:rPr>
        <w:t>1.</w:t>
      </w:r>
      <w:r>
        <w:rPr>
          <w:b/>
          <w:bCs/>
        </w:rPr>
        <w:t>核心公式</w:t>
      </w:r>
    </w:p>
    <w:p w14:paraId="0F5857C3">
      <w:pPr>
        <w:pStyle w:val="11"/>
        <w:spacing w:line="240" w:lineRule="auto"/>
        <w:ind w:firstLine="0" w:firstLineChars="0"/>
      </w:pPr>
      <m:oMath>
        <m:m>
          <m:mPr>
            <m:mcs>
              <m:mc>
                <m:mcPr>
                  <m:count m:val="1"/>
                  <m:mcJc m:val="right"/>
                </m:mcPr>
              </m:mc>
              <m:mc>
                <m:mcPr>
                  <m:count m:val="1"/>
                  <m:mcJc m:val="left"/>
                </m:mcPr>
              </m:mc>
            </m:mcs>
            <m:cGp m:val="60"/>
            <m:cGpRule m:val="3"/>
            <m:plcHide m:val="1"/>
            <m:ctrlPr>
              <w:rPr>
                <w:rFonts w:hint="default" w:ascii="Cambria Math" w:hAnsi="Cambria Math"/>
              </w:rPr>
            </m:ctrlPr>
          </m:mPr>
          <m:mr>
            <m:e>
              <m:r>
                <m:rPr>
                  <m:sty m:val="p"/>
                </m:rPr>
                <w:rPr>
                  <w:rFonts w:hint="eastAsia" w:ascii="Cambria Math" w:hAnsi="Cambria Math"/>
                  <w:lang w:val="en-US" w:eastAsia="zh-CN"/>
                </w:rPr>
                <m:t>需要的</m:t>
              </m:r>
              <m:r>
                <m:rPr>
                  <m:sty m:val="p"/>
                </m:rPr>
                <w:rPr>
                  <w:rFonts w:hint="default" w:ascii="Cambria Math" w:hAnsi="Cambria Math"/>
                </w:rPr>
                <m:t>千人床位数</m:t>
              </m:r>
              <m:ctrlPr>
                <w:rPr>
                  <w:rFonts w:ascii="Cambria Math" w:hAnsi="Cambria Math"/>
                </w:rPr>
              </m:ctrlPr>
            </m:e>
            <m:e>
              <m:r>
                <m:rPr>
                  <m:sty m:val="p"/>
                </m:rPr>
                <w:rPr>
                  <w:rFonts w:hint="default" w:ascii="Cambria Math" w:hAnsi="Cambria Math"/>
                </w:rPr>
                <m:t>=</m:t>
              </m:r>
              <m:f>
                <m:fPr>
                  <m:ctrlPr>
                    <w:rPr>
                      <w:rFonts w:hint="default" w:ascii="Cambria Math" w:hAnsi="Cambria Math"/>
                    </w:rPr>
                  </m:ctrlPr>
                </m:fPr>
                <m:num>
                  <m:nary>
                    <m:naryPr>
                      <m:chr m:val="∑"/>
                      <m:limLoc m:val="undOvr"/>
                      <m:subHide m:val="1"/>
                      <m:supHide m:val="1"/>
                      <m:ctrlPr>
                        <w:rPr>
                          <w:rFonts w:hint="default" w:ascii="Cambria Math" w:hAnsi="Cambria Math"/>
                        </w:rPr>
                      </m:ctrlPr>
                    </m:naryPr>
                    <m:sub>
                      <m:ctrlPr>
                        <w:rPr>
                          <w:rFonts w:ascii="Cambria Math" w:hAnsi="Cambria Math"/>
                        </w:rPr>
                      </m:ctrlPr>
                    </m:sub>
                    <m:sup>
                      <m:ctrlPr>
                        <w:rPr>
                          <w:rFonts w:ascii="Cambria Math" w:hAnsi="Cambria Math"/>
                        </w:rPr>
                      </m:ctrlPr>
                    </m:sup>
                    <m:e>
                      <m:r>
                        <m:rPr>
                          <m:sty m:val="p"/>
                        </m:rPr>
                        <w:rPr>
                          <w:rFonts w:hint="default" w:ascii="Cambria Math" w:hAnsi="Cambria Math"/>
                        </w:rPr>
                        <m:t>(</m:t>
                      </m:r>
                      <m:ctrlPr>
                        <w:rPr>
                          <w:rFonts w:ascii="Cambria Math" w:hAnsi="Cambria Math"/>
                        </w:rPr>
                      </m:ctrlPr>
                    </m:e>
                  </m:nary>
                  <m:r>
                    <m:rPr>
                      <m:sty m:val="p"/>
                    </m:rPr>
                    <w:rPr>
                      <w:rFonts w:hint="default" w:ascii="Cambria Math" w:hAnsi="Cambria Math"/>
                    </w:rPr>
                    <m:t>各年龄段住院率×年龄段参保人数)×平均住院日×1000</m:t>
                  </m:r>
                  <m:ctrlPr>
                    <w:rPr>
                      <w:rFonts w:hint="default" w:ascii="Cambria Math" w:hAnsi="Cambria Math"/>
                    </w:rPr>
                  </m:ctrlPr>
                </m:num>
                <m:den>
                  <m:r>
                    <m:rPr>
                      <m:sty m:val="p"/>
                    </m:rPr>
                    <w:rPr>
                      <w:rFonts w:hint="default" w:ascii="Cambria Math" w:hAnsi="Cambria Math"/>
                    </w:rPr>
                    <m:t>病床使用率×365×参保人数</m:t>
                  </m:r>
                  <m:ctrlPr>
                    <w:rPr>
                      <w:rFonts w:hint="default" w:ascii="Cambria Math" w:hAnsi="Cambria Math"/>
                    </w:rPr>
                  </m:ctrlPr>
                </m:den>
              </m:f>
              <m:ctrlPr>
                <w:rPr>
                  <w:rFonts w:hint="default" w:ascii="Cambria Math" w:hAnsi="Cambria Math"/>
                </w:rPr>
              </m:ctrlPr>
            </m:e>
          </m:mr>
          <m:mr>
            <m:e>
              <m:ctrlPr>
                <w:rPr>
                  <w:rFonts w:hint="default" w:ascii="Cambria Math" w:hAnsi="Cambria Math"/>
                </w:rPr>
              </m:ctrlPr>
            </m:e>
            <m:e>
              <m:r>
                <m:rPr>
                  <m:sty m:val="p"/>
                </m:rPr>
                <w:rPr>
                  <w:rFonts w:hint="default" w:ascii="Cambria Math" w:hAnsi="Cambria Math"/>
                </w:rPr>
                <m:t>×</m:t>
              </m:r>
              <m:r>
                <m:rPr>
                  <m:sty m:val="p"/>
                </m:rPr>
                <w:rPr>
                  <w:rFonts w:hint="eastAsia" w:ascii="Cambria Math" w:hAnsi="Cambria Math"/>
                  <w:lang w:val="en-US" w:eastAsia="zh-CN"/>
                </w:rPr>
                <m:t>患者</m:t>
              </m:r>
              <m:r>
                <m:rPr>
                  <m:sty m:val="p"/>
                </m:rPr>
                <w:rPr>
                  <w:rFonts w:hint="default" w:ascii="Cambria Math" w:hAnsi="Cambria Math"/>
                </w:rPr>
                <m:t>调节系数×基金调节系数</m:t>
              </m:r>
              <m:ctrlPr>
                <w:rPr>
                  <w:rFonts w:hint="default" w:ascii="Cambria Math" w:hAnsi="Cambria Math"/>
                </w:rPr>
              </m:ctrlPr>
            </m:e>
          </m:mr>
        </m:m>
      </m:oMath>
      <w:r>
        <w:rPr>
          <w:rFonts w:hint="default" w:ascii="Cambria Math" w:hAnsi="Cambria Math"/>
        </w:rPr>
        <w:t xml:space="preserve"> </w:t>
      </w:r>
    </w:p>
    <w:p w14:paraId="1BA945E9">
      <w:pPr>
        <w:pStyle w:val="11"/>
      </w:pPr>
    </w:p>
    <w:p w14:paraId="5977934B">
      <w:pPr>
        <w:pStyle w:val="4"/>
        <w:pageBreakBefore w:val="0"/>
        <w:numPr>
          <w:ilvl w:val="0"/>
          <w:numId w:val="0"/>
        </w:numPr>
        <w:kinsoku/>
        <w:wordWrap/>
        <w:overflowPunct/>
        <w:topLinePunct w:val="0"/>
        <w:autoSpaceDE/>
        <w:autoSpaceDN/>
        <w:bidi w:val="0"/>
        <w:adjustRightInd/>
        <w:snapToGrid/>
        <w:ind w:left="640" w:leftChars="0"/>
        <w:textAlignment w:val="auto"/>
        <w:rPr>
          <w:b/>
          <w:bCs/>
        </w:rPr>
      </w:pPr>
      <w:r>
        <w:rPr>
          <w:rFonts w:hint="eastAsia"/>
          <w:b/>
          <w:bCs/>
          <w:lang w:val="en-US" w:eastAsia="zh-CN"/>
        </w:rPr>
        <w:t>2.</w:t>
      </w:r>
      <w:r>
        <w:rPr>
          <w:b/>
          <w:bCs/>
        </w:rPr>
        <w:t>指标定义与计算公式</w:t>
      </w:r>
    </w:p>
    <w:p w14:paraId="542A4131">
      <w:pPr>
        <w:pStyle w:val="11"/>
        <w:pageBreakBefore w:val="0"/>
        <w:kinsoku/>
        <w:wordWrap/>
        <w:overflowPunct/>
        <w:topLinePunct w:val="0"/>
        <w:autoSpaceDE/>
        <w:autoSpaceDN/>
        <w:bidi w:val="0"/>
        <w:adjustRightInd/>
        <w:snapToGrid/>
        <w:textAlignment w:val="auto"/>
      </w:pPr>
      <w:r>
        <w:rPr>
          <w:rFonts w:hint="eastAsia"/>
          <w:lang w:val="en-US" w:eastAsia="zh-CN"/>
        </w:rPr>
        <w:t>各年龄段</w:t>
      </w:r>
      <w:r>
        <w:t>住院率（‰） ＝ （</w:t>
      </w:r>
      <w:r>
        <w:rPr>
          <w:rFonts w:hint="eastAsia"/>
          <w:lang w:val="en-US" w:eastAsia="zh-CN"/>
        </w:rPr>
        <w:t>该年龄段</w:t>
      </w:r>
      <w:r>
        <w:t>年度医保住院总人次 ／ 参保人数） × 1000</w:t>
      </w:r>
    </w:p>
    <w:p w14:paraId="726F3118">
      <w:pPr>
        <w:pStyle w:val="11"/>
        <w:pageBreakBefore w:val="0"/>
        <w:kinsoku/>
        <w:wordWrap/>
        <w:overflowPunct/>
        <w:topLinePunct w:val="0"/>
        <w:autoSpaceDE/>
        <w:autoSpaceDN/>
        <w:bidi w:val="0"/>
        <w:adjustRightInd/>
        <w:snapToGrid/>
        <w:textAlignment w:val="auto"/>
      </w:pPr>
      <w:r>
        <w:t>平均住院日（天） ＝ 年度医保住院患者总住院床日数 ／ 年度医保住院总人次</w:t>
      </w:r>
    </w:p>
    <w:p w14:paraId="1BD24CC0">
      <w:pPr>
        <w:pStyle w:val="11"/>
        <w:pageBreakBefore w:val="0"/>
        <w:kinsoku/>
        <w:wordWrap/>
        <w:overflowPunct/>
        <w:topLinePunct w:val="0"/>
        <w:autoSpaceDE/>
        <w:autoSpaceDN/>
        <w:bidi w:val="0"/>
        <w:adjustRightInd/>
        <w:snapToGrid/>
        <w:textAlignment w:val="auto"/>
      </w:pPr>
      <w:r>
        <w:t>病床使用率（％） ＝ （年度实际占用总床日数 ／ （年平均</w:t>
      </w:r>
      <w:r>
        <w:rPr>
          <w:rFonts w:hint="eastAsia"/>
          <w:lang w:val="en-US" w:eastAsia="zh-CN"/>
        </w:rPr>
        <w:t>医保备案审批</w:t>
      </w:r>
      <w:r>
        <w:t>床位数 × 365）） × 100％</w:t>
      </w:r>
    </w:p>
    <w:p w14:paraId="0AEECB1C">
      <w:pPr>
        <w:pStyle w:val="11"/>
        <w:pageBreakBefore w:val="0"/>
        <w:kinsoku/>
        <w:wordWrap/>
        <w:overflowPunct/>
        <w:topLinePunct w:val="0"/>
        <w:autoSpaceDE/>
        <w:autoSpaceDN/>
        <w:bidi w:val="0"/>
        <w:adjustRightInd/>
        <w:snapToGrid/>
        <w:textAlignment w:val="auto"/>
      </w:pPr>
      <w:r>
        <w:t>患者调节系数：反映患者跨区域流动对本地床位需求的影响。</w:t>
      </w:r>
    </w:p>
    <w:p w14:paraId="56654AF3">
      <w:pPr>
        <w:pStyle w:val="11"/>
        <w:pageBreakBefore w:val="0"/>
        <w:kinsoku/>
        <w:wordWrap/>
        <w:overflowPunct/>
        <w:topLinePunct w:val="0"/>
        <w:autoSpaceDE/>
        <w:autoSpaceDN/>
        <w:bidi w:val="0"/>
        <w:adjustRightInd/>
        <w:snapToGrid/>
        <w:textAlignment w:val="auto"/>
      </w:pPr>
      <w:r>
        <w:t>患者调节系数 ＝ （本地参保人在本地出院人次 － 本地参保人在异地出院人次 ＋ 异地参保人在本地出院人次） ／ 本地参保人在本地出院人次</w:t>
      </w:r>
    </w:p>
    <w:p w14:paraId="1D9482BB">
      <w:pPr>
        <w:pStyle w:val="11"/>
        <w:pageBreakBefore w:val="0"/>
        <w:kinsoku/>
        <w:wordWrap/>
        <w:overflowPunct/>
        <w:topLinePunct w:val="0"/>
        <w:autoSpaceDE/>
        <w:autoSpaceDN/>
        <w:bidi w:val="0"/>
        <w:adjustRightInd/>
        <w:snapToGrid/>
        <w:textAlignment w:val="auto"/>
      </w:pPr>
      <w:r>
        <w:t>基金调节系数：根据医保基金支付能力动态调整。可结合基金加权可支付月数设定，低于警戒线时系数小于1，高于安全线时系数可大于或等于1。</w:t>
      </w:r>
    </w:p>
    <w:p w14:paraId="51564816">
      <w:pPr>
        <w:pStyle w:val="3"/>
        <w:pageBreakBefore w:val="0"/>
        <w:kinsoku/>
        <w:wordWrap/>
        <w:overflowPunct/>
        <w:topLinePunct w:val="0"/>
        <w:autoSpaceDE/>
        <w:autoSpaceDN/>
        <w:bidi w:val="0"/>
        <w:adjustRightInd/>
        <w:snapToGrid/>
        <w:textAlignment w:val="auto"/>
      </w:pPr>
      <w:r>
        <w:rPr>
          <w:rFonts w:hint="eastAsia"/>
          <w:lang w:eastAsia="zh-CN"/>
        </w:rPr>
        <w:t>（</w:t>
      </w:r>
      <w:r>
        <w:rPr>
          <w:rFonts w:hint="eastAsia"/>
          <w:lang w:val="en-US" w:eastAsia="zh-CN"/>
        </w:rPr>
        <w:t>二</w:t>
      </w:r>
      <w:r>
        <w:rPr>
          <w:rFonts w:hint="eastAsia"/>
          <w:lang w:eastAsia="zh-CN"/>
        </w:rPr>
        <w:t>）</w:t>
      </w:r>
      <w:r>
        <w:t>分级配置结构</w:t>
      </w:r>
    </w:p>
    <w:p w14:paraId="48AC371C">
      <w:pPr>
        <w:pStyle w:val="11"/>
        <w:pageBreakBefore w:val="0"/>
        <w:kinsoku/>
        <w:wordWrap/>
        <w:overflowPunct/>
        <w:topLinePunct w:val="0"/>
        <w:autoSpaceDE/>
        <w:autoSpaceDN/>
        <w:bidi w:val="0"/>
        <w:adjustRightInd/>
        <w:snapToGrid/>
        <w:textAlignment w:val="auto"/>
      </w:pPr>
      <w:r>
        <w:t>根据</w:t>
      </w:r>
      <w:r>
        <w:rPr>
          <w:rFonts w:hint="eastAsia"/>
          <w:lang w:eastAsia="zh-CN"/>
        </w:rPr>
        <w:t>辖</w:t>
      </w:r>
      <w:r>
        <w:t>区人口规模，按以下比例分配各级医院床位：</w:t>
      </w:r>
    </w:p>
    <w:p w14:paraId="2DD20AF8">
      <w:pPr>
        <w:pStyle w:val="11"/>
        <w:pageBreakBefore w:val="0"/>
        <w:kinsoku/>
        <w:wordWrap/>
        <w:overflowPunct/>
        <w:topLinePunct w:val="0"/>
        <w:autoSpaceDE/>
        <w:autoSpaceDN/>
        <w:bidi w:val="0"/>
        <w:adjustRightInd/>
        <w:snapToGrid/>
        <w:textAlignment w:val="auto"/>
      </w:pPr>
      <w:r>
        <w:t>100万人以下：三级：二级：一级 ＝ 3：5：2</w:t>
      </w:r>
    </w:p>
    <w:p w14:paraId="67524F62">
      <w:pPr>
        <w:pStyle w:val="11"/>
        <w:pageBreakBefore w:val="0"/>
        <w:kinsoku/>
        <w:wordWrap/>
        <w:overflowPunct/>
        <w:topLinePunct w:val="0"/>
        <w:autoSpaceDE/>
        <w:autoSpaceDN/>
        <w:bidi w:val="0"/>
        <w:adjustRightInd/>
        <w:snapToGrid/>
        <w:textAlignment w:val="auto"/>
      </w:pPr>
      <w:r>
        <w:t>100万–300万：三级：二级：一级 ＝ 4：4：2</w:t>
      </w:r>
    </w:p>
    <w:p w14:paraId="1E6AEB10">
      <w:pPr>
        <w:pStyle w:val="11"/>
        <w:pageBreakBefore w:val="0"/>
        <w:kinsoku/>
        <w:wordWrap/>
        <w:overflowPunct/>
        <w:topLinePunct w:val="0"/>
        <w:autoSpaceDE/>
        <w:autoSpaceDN/>
        <w:bidi w:val="0"/>
        <w:adjustRightInd/>
        <w:snapToGrid/>
        <w:textAlignment w:val="auto"/>
      </w:pPr>
      <w:r>
        <w:t>300万–500万：三级：二级：一级 ＝ 5：3：2</w:t>
      </w:r>
    </w:p>
    <w:p w14:paraId="4BB3BE42">
      <w:pPr>
        <w:pStyle w:val="11"/>
        <w:pageBreakBefore w:val="0"/>
        <w:kinsoku/>
        <w:wordWrap/>
        <w:overflowPunct/>
        <w:topLinePunct w:val="0"/>
        <w:autoSpaceDE/>
        <w:autoSpaceDN/>
        <w:bidi w:val="0"/>
        <w:adjustRightInd/>
        <w:snapToGrid/>
        <w:textAlignment w:val="auto"/>
      </w:pPr>
      <w:r>
        <w:t>500万以上：三级：二级：一级 ＝ 6：2：2</w:t>
      </w:r>
    </w:p>
    <w:p w14:paraId="2651CB51">
      <w:pPr>
        <w:pStyle w:val="11"/>
        <w:pageBreakBefore w:val="0"/>
        <w:kinsoku/>
        <w:wordWrap/>
        <w:overflowPunct/>
        <w:topLinePunct w:val="0"/>
        <w:autoSpaceDE/>
        <w:autoSpaceDN/>
        <w:bidi w:val="0"/>
        <w:adjustRightInd/>
        <w:snapToGrid/>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val="en-US" w:eastAsia="zh-CN"/>
        </w:rPr>
        <w:t>（三）</w:t>
      </w:r>
      <w:r>
        <w:rPr>
          <w:rFonts w:hint="eastAsia" w:ascii="楷体_GB2312" w:hAnsi="楷体_GB2312" w:eastAsia="楷体_GB2312" w:cs="楷体_GB2312"/>
          <w:b w:val="0"/>
          <w:bCs w:val="0"/>
        </w:rPr>
        <w:t>非住院定点医疗机构</w:t>
      </w:r>
      <w:r>
        <w:rPr>
          <w:rFonts w:hint="eastAsia" w:ascii="楷体_GB2312" w:hAnsi="楷体_GB2312" w:eastAsia="楷体_GB2312" w:cs="楷体_GB2312"/>
          <w:b w:val="0"/>
          <w:bCs w:val="0"/>
          <w:lang w:eastAsia="zh-CN"/>
        </w:rPr>
        <w:t>配置</w:t>
      </w:r>
    </w:p>
    <w:p w14:paraId="498D0089">
      <w:pPr>
        <w:pStyle w:val="11"/>
        <w:pageBreakBefore w:val="0"/>
        <w:kinsoku/>
        <w:wordWrap/>
        <w:overflowPunct/>
        <w:topLinePunct w:val="0"/>
        <w:autoSpaceDE/>
        <w:autoSpaceDN/>
        <w:bidi w:val="0"/>
        <w:adjustRightInd/>
        <w:snapToGrid/>
        <w:textAlignment w:val="auto"/>
        <w:rPr>
          <w:rFonts w:hint="eastAsia"/>
        </w:rPr>
      </w:pPr>
      <w:r>
        <w:rPr>
          <w:rFonts w:hint="eastAsia"/>
        </w:rPr>
        <w:t>全市非住院定点医疗机构规划总量，以优化资源配置、保障居民便捷就医为目标，统筹兼顾常住人口分布、人口密度、异地就医流向及实际服务量等关键因素确定。</w:t>
      </w:r>
    </w:p>
    <w:p w14:paraId="5BB8C272">
      <w:pPr>
        <w:pStyle w:val="11"/>
        <w:pageBreakBefore w:val="0"/>
        <w:kinsoku/>
        <w:wordWrap/>
        <w:overflowPunct/>
        <w:topLinePunct w:val="0"/>
        <w:autoSpaceDE/>
        <w:autoSpaceDN/>
        <w:bidi w:val="0"/>
        <w:adjustRightInd/>
        <w:snapToGrid/>
        <w:textAlignment w:val="auto"/>
        <w:rPr>
          <w:rFonts w:hint="eastAsia"/>
        </w:rPr>
      </w:pPr>
      <w:r>
        <w:rPr>
          <w:rFonts w:hint="eastAsia"/>
        </w:rPr>
        <w:t>全市非住院定点医疗机构规划总量=（全市参保人数+异地参保人员在本地门诊就医人数）/平均服务人数</w:t>
      </w:r>
    </w:p>
    <w:p w14:paraId="0F5A03AF">
      <w:pPr>
        <w:pStyle w:val="11"/>
        <w:pageBreakBefore w:val="0"/>
        <w:kinsoku/>
        <w:wordWrap/>
        <w:overflowPunct/>
        <w:topLinePunct w:val="0"/>
        <w:autoSpaceDE/>
        <w:autoSpaceDN/>
        <w:bidi w:val="0"/>
        <w:adjustRightInd/>
        <w:snapToGrid/>
        <w:textAlignment w:val="auto"/>
      </w:pPr>
      <w:r>
        <w:rPr>
          <w:rFonts w:hint="eastAsia"/>
        </w:rPr>
        <w:t>平均服务人数：分析国内其他地区经验与本市实际情况，综合考虑城市人口分布特点及非住院定点医疗机构的适宜服务半径与承载能力，设定每家非住院定点医疗机构平均服务3000名参保人员。</w:t>
      </w:r>
    </w:p>
    <w:p w14:paraId="6BAE37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定点零售药店配置</w:t>
      </w:r>
    </w:p>
    <w:p w14:paraId="659A8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城市建成区按照“15分钟医保服务圈”要求，服务半径800米范围内可以纳入1-3家定点零售药店。计算公式如下：</w:t>
      </w:r>
    </w:p>
    <w:p w14:paraId="33A98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医保适宜定点零售药店数=城市建成区面积×(1-3)÷定点零售药店覆盖面积</w:t>
      </w:r>
    </w:p>
    <w:p w14:paraId="21236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每万参保人口定点零售药店数=医保适宜定点零售药店数×10000÷总参保人数</w:t>
      </w:r>
    </w:p>
    <w:p w14:paraId="62DCC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人口密集区域可以适当增加定点零售药店数量，对目前定点零售药店数量相对饱和的大型医疗中心附近或药店密度大的中心城区，适当控制新增定点零售药店数，规划期内按照常驻参保人口购药需求逐步优化定点零售药店的布局和密度。</w:t>
      </w:r>
    </w:p>
    <w:sectPr>
      <w:pgSz w:w="11906" w:h="16838"/>
      <w:pgMar w:top="2098" w:right="1474" w:bottom="1984"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CESI楷体-GB2312"/>
    <w:panose1 w:val="02010609030101010101"/>
    <w:charset w:val="86"/>
    <w:family w:val="auto"/>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BB6B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BED8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0E2BED8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3DB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4378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6754378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DF748">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6578">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C2F3B"/>
    <w:multiLevelType w:val="singleLevel"/>
    <w:tmpl w:val="860C2F3B"/>
    <w:lvl w:ilvl="0" w:tentative="0">
      <w:start w:val="1"/>
      <w:numFmt w:val="taiwaneseCounting"/>
      <w:suff w:val="nothing"/>
      <w:lvlText w:val="%1、"/>
      <w:lvlJc w:val="left"/>
      <w:pPr>
        <w:ind w:left="0" w:firstLine="640"/>
      </w:pPr>
      <w:rPr>
        <w:rFonts w:hint="eastAsia"/>
      </w:rPr>
    </w:lvl>
  </w:abstractNum>
  <w:abstractNum w:abstractNumId="1">
    <w:nsid w:val="E21128BD"/>
    <w:multiLevelType w:val="singleLevel"/>
    <w:tmpl w:val="E21128BD"/>
    <w:lvl w:ilvl="0" w:tentative="0">
      <w:start w:val="1"/>
      <w:numFmt w:val="taiwaneseCounting"/>
      <w:suff w:val="nothing"/>
      <w:lvlText w:val="（%1）"/>
      <w:lvlJc w:val="left"/>
      <w:pPr>
        <w:ind w:left="0" w:firstLine="6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745F7"/>
    <w:rsid w:val="047D1717"/>
    <w:rsid w:val="073C242F"/>
    <w:rsid w:val="0A7E7C4D"/>
    <w:rsid w:val="0D7C4FAB"/>
    <w:rsid w:val="15B27C27"/>
    <w:rsid w:val="194745F7"/>
    <w:rsid w:val="1A576F04"/>
    <w:rsid w:val="1FFFCE95"/>
    <w:rsid w:val="206C3C8B"/>
    <w:rsid w:val="21FD1424"/>
    <w:rsid w:val="23A3481D"/>
    <w:rsid w:val="279FE7B3"/>
    <w:rsid w:val="2B3B1740"/>
    <w:rsid w:val="3757357E"/>
    <w:rsid w:val="3EFDEC41"/>
    <w:rsid w:val="3F6F74A0"/>
    <w:rsid w:val="3FCAE363"/>
    <w:rsid w:val="478704AE"/>
    <w:rsid w:val="4FF6BEA2"/>
    <w:rsid w:val="55577669"/>
    <w:rsid w:val="5779DE89"/>
    <w:rsid w:val="5EA6920C"/>
    <w:rsid w:val="5F6F69D2"/>
    <w:rsid w:val="5F77D48C"/>
    <w:rsid w:val="6DD9612E"/>
    <w:rsid w:val="6F7832B3"/>
    <w:rsid w:val="6F8F9CCF"/>
    <w:rsid w:val="71290D5C"/>
    <w:rsid w:val="71FB6593"/>
    <w:rsid w:val="73C658BC"/>
    <w:rsid w:val="748D0583"/>
    <w:rsid w:val="773F4805"/>
    <w:rsid w:val="777FBCF3"/>
    <w:rsid w:val="77FEAF77"/>
    <w:rsid w:val="7BB5C496"/>
    <w:rsid w:val="7BCFB22B"/>
    <w:rsid w:val="7E3B7AE0"/>
    <w:rsid w:val="7E3F1AFB"/>
    <w:rsid w:val="7ED7421C"/>
    <w:rsid w:val="7EEF429F"/>
    <w:rsid w:val="7EF5BE08"/>
    <w:rsid w:val="7EFBBA4E"/>
    <w:rsid w:val="7FFA5EA8"/>
    <w:rsid w:val="7FFE5F60"/>
    <w:rsid w:val="7FFFCA6B"/>
    <w:rsid w:val="8FDF501B"/>
    <w:rsid w:val="96F7D0F1"/>
    <w:rsid w:val="ADDF0D7C"/>
    <w:rsid w:val="BDA99B90"/>
    <w:rsid w:val="BDEB5AAB"/>
    <w:rsid w:val="BFFFA794"/>
    <w:rsid w:val="CA7D3050"/>
    <w:rsid w:val="D7AE5776"/>
    <w:rsid w:val="D9DB9F8A"/>
    <w:rsid w:val="DCFD8599"/>
    <w:rsid w:val="DD646330"/>
    <w:rsid w:val="DF3EF1E2"/>
    <w:rsid w:val="DFBF8A81"/>
    <w:rsid w:val="F4EA2EE6"/>
    <w:rsid w:val="F9DF9A8E"/>
    <w:rsid w:val="FB592E2A"/>
    <w:rsid w:val="FB831E59"/>
    <w:rsid w:val="FBFC51AF"/>
    <w:rsid w:val="FCFCC904"/>
    <w:rsid w:val="FD66703A"/>
    <w:rsid w:val="FD7D779F"/>
    <w:rsid w:val="FD7D94D3"/>
    <w:rsid w:val="FD87ACC1"/>
    <w:rsid w:val="FDFF9850"/>
    <w:rsid w:val="FEFE4468"/>
    <w:rsid w:val="FF5AD774"/>
    <w:rsid w:val="FF6F9E44"/>
    <w:rsid w:val="FFB6A823"/>
    <w:rsid w:val="FFF73C6A"/>
    <w:rsid w:val="FFFE07EA"/>
    <w:rsid w:val="FFFFBC7C"/>
    <w:rsid w:val="FFFFC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link w:val="20"/>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19">
    <w:name w:val="表格标题"/>
    <w:next w:val="1"/>
    <w:qFormat/>
    <w:uiPriority w:val="0"/>
    <w:pPr>
      <w:overflowPunct w:val="0"/>
      <w:topLinePunct/>
      <w:spacing w:line="560" w:lineRule="exact"/>
      <w:jc w:val="center"/>
      <w:outlineLvl w:val="9"/>
    </w:pPr>
    <w:rPr>
      <w:rFonts w:ascii="仿宋_GB2312" w:hAnsi="仿宋_GB2312" w:eastAsia="仿宋_GB2312" w:cs="仿宋_GB2312"/>
      <w:spacing w:val="-6"/>
      <w:kern w:val="0"/>
      <w:sz w:val="32"/>
      <w:szCs w:val="32"/>
    </w:rPr>
  </w:style>
  <w:style w:type="character" w:customStyle="1" w:styleId="20">
    <w:name w:val="标题 3 Char"/>
    <w:link w:val="4"/>
    <w:qFormat/>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3070</Words>
  <Characters>3129</Characters>
  <Lines>0</Lines>
  <Paragraphs>0</Paragraphs>
  <TotalTime>0</TotalTime>
  <ScaleCrop>false</ScaleCrop>
  <LinksUpToDate>false</LinksUpToDate>
  <CharactersWithSpaces>3167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2025-10-03T00:51:00Z</dcterms:created>
  <dc:creator>agujfd</dc:creator>
  <cp:lastModifiedBy>绵绵</cp:lastModifiedBy>
  <cp:lastPrinted>2026-01-06T18:21:00Z</cp:lastPrinted>
  <dcterms:modified xsi:type="dcterms:W3CDTF">2026-04-16T17:00:15Z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1853022E3AD9A1A96B9FE0698B60441D_43</vt:lpwstr>
  </property>
  <property fmtid="{D5CDD505-2E9C-101B-9397-08002B2CF9AE}" pid="4" name="KSOTemplateDocerSaveRecord">
    <vt:lpwstr>eyJoZGlkIjoiNWQwOTczNmE3OGJhNWI3MWYwNGJlYjdmOTkyNzQwMWMiLCJ1c2VySWQiOiI1OTc5NTQ1ODcifQ==</vt:lpwstr>
  </property>
</Properties>
</file>